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2C752" w14:textId="77777777" w:rsidR="00944258" w:rsidRDefault="00944258" w:rsidP="00944258">
      <w:pPr>
        <w:jc w:val="center"/>
        <w:rPr>
          <w:rFonts w:ascii="Palatino Linotype" w:hAnsi="Palatino Linotype"/>
          <w:b/>
        </w:rPr>
      </w:pPr>
      <w:r>
        <w:rPr>
          <w:rFonts w:ascii="Palatino Linotype" w:hAnsi="Palatino Linotype"/>
          <w:b/>
        </w:rPr>
        <w:t>Notes to the Financial Statements Template</w:t>
      </w:r>
    </w:p>
    <w:p w14:paraId="5374D09F" w14:textId="77777777" w:rsidR="00267B19" w:rsidRDefault="00267B19" w:rsidP="00944258">
      <w:pPr>
        <w:jc w:val="center"/>
        <w:rPr>
          <w:rFonts w:ascii="Palatino Linotype" w:hAnsi="Palatino Linotype"/>
          <w:b/>
        </w:rPr>
      </w:pPr>
    </w:p>
    <w:p w14:paraId="2847C6BD" w14:textId="7C59AE45" w:rsidR="00944258" w:rsidRPr="00D6089F" w:rsidRDefault="00944258" w:rsidP="00944258">
      <w:pPr>
        <w:rPr>
          <w:rFonts w:ascii="Palatino Linotype" w:hAnsi="Palatino Linotype"/>
          <w:i/>
          <w:sz w:val="22"/>
          <w:szCs w:val="22"/>
        </w:rPr>
      </w:pPr>
      <w:r w:rsidRPr="000E0D3E">
        <w:rPr>
          <w:rFonts w:ascii="Palatino Linotype" w:hAnsi="Palatino Linotype"/>
          <w:b/>
          <w:i/>
          <w:sz w:val="22"/>
          <w:szCs w:val="22"/>
        </w:rPr>
        <w:t>Instructions</w:t>
      </w:r>
      <w:r w:rsidRPr="00D6089F">
        <w:rPr>
          <w:rFonts w:ascii="Palatino Linotype" w:hAnsi="Palatino Linotype"/>
          <w:b/>
          <w:sz w:val="22"/>
          <w:szCs w:val="22"/>
        </w:rPr>
        <w:t xml:space="preserve"> </w:t>
      </w:r>
      <w:r w:rsidRPr="00D6089F">
        <w:rPr>
          <w:rFonts w:ascii="Palatino Linotype" w:hAnsi="Palatino Linotype"/>
          <w:sz w:val="22"/>
          <w:szCs w:val="22"/>
        </w:rPr>
        <w:t xml:space="preserve">– </w:t>
      </w:r>
      <w:r w:rsidRPr="00D6089F">
        <w:rPr>
          <w:rFonts w:ascii="Palatino Linotype" w:hAnsi="Palatino Linotype"/>
          <w:i/>
          <w:sz w:val="22"/>
          <w:szCs w:val="22"/>
        </w:rPr>
        <w:t>The</w:t>
      </w:r>
      <w:r w:rsidRPr="00D6089F">
        <w:rPr>
          <w:rFonts w:ascii="Palatino Linotype" w:hAnsi="Palatino Linotype"/>
          <w:b/>
          <w:i/>
          <w:sz w:val="22"/>
          <w:szCs w:val="22"/>
        </w:rPr>
        <w:t xml:space="preserve"> </w:t>
      </w:r>
      <w:r w:rsidRPr="00D6089F">
        <w:rPr>
          <w:rFonts w:ascii="Palatino Linotype" w:hAnsi="Palatino Linotype"/>
          <w:i/>
          <w:sz w:val="22"/>
          <w:szCs w:val="22"/>
        </w:rPr>
        <w:t xml:space="preserve">Notes to the Financial Statements template </w:t>
      </w:r>
      <w:r w:rsidR="008047CF">
        <w:rPr>
          <w:rFonts w:ascii="Palatino Linotype" w:hAnsi="Palatino Linotype"/>
          <w:i/>
          <w:sz w:val="22"/>
          <w:szCs w:val="22"/>
        </w:rPr>
        <w:t xml:space="preserve">below </w:t>
      </w:r>
      <w:r w:rsidRPr="00D6089F">
        <w:rPr>
          <w:rFonts w:ascii="Palatino Linotype" w:hAnsi="Palatino Linotype"/>
          <w:i/>
          <w:sz w:val="22"/>
          <w:szCs w:val="22"/>
        </w:rPr>
        <w:t xml:space="preserve">includes sample language </w:t>
      </w:r>
      <w:r w:rsidR="00D827FD">
        <w:rPr>
          <w:rFonts w:ascii="Palatino Linotype" w:hAnsi="Palatino Linotype"/>
          <w:i/>
          <w:sz w:val="22"/>
          <w:szCs w:val="22"/>
        </w:rPr>
        <w:t xml:space="preserve">and schedules </w:t>
      </w:r>
      <w:r w:rsidRPr="00D6089F">
        <w:rPr>
          <w:rFonts w:ascii="Palatino Linotype" w:hAnsi="Palatino Linotype"/>
          <w:i/>
          <w:sz w:val="22"/>
          <w:szCs w:val="22"/>
        </w:rPr>
        <w:t xml:space="preserve">to be used </w:t>
      </w:r>
      <w:r w:rsidR="00D827FD">
        <w:rPr>
          <w:rFonts w:ascii="Palatino Linotype" w:hAnsi="Palatino Linotype"/>
          <w:i/>
          <w:sz w:val="22"/>
          <w:szCs w:val="22"/>
        </w:rPr>
        <w:t xml:space="preserve">as a guide </w:t>
      </w:r>
      <w:r w:rsidR="008047CF">
        <w:rPr>
          <w:rFonts w:ascii="Palatino Linotype" w:hAnsi="Palatino Linotype"/>
          <w:i/>
          <w:sz w:val="22"/>
          <w:szCs w:val="22"/>
        </w:rPr>
        <w:t xml:space="preserve">by LASERS employers </w:t>
      </w:r>
      <w:r w:rsidR="000A4DB2">
        <w:rPr>
          <w:rFonts w:ascii="Palatino Linotype" w:hAnsi="Palatino Linotype"/>
          <w:i/>
          <w:sz w:val="22"/>
          <w:szCs w:val="22"/>
        </w:rPr>
        <w:t xml:space="preserve">with fiscal years ending July 1, 2016 through June 30, 2017 </w:t>
      </w:r>
      <w:r w:rsidR="008047CF">
        <w:rPr>
          <w:rFonts w:ascii="Palatino Linotype" w:hAnsi="Palatino Linotype"/>
          <w:i/>
          <w:sz w:val="22"/>
          <w:szCs w:val="22"/>
        </w:rPr>
        <w:t xml:space="preserve">in </w:t>
      </w:r>
      <w:r w:rsidR="00D827FD">
        <w:rPr>
          <w:rFonts w:ascii="Palatino Linotype" w:hAnsi="Palatino Linotype"/>
          <w:i/>
          <w:sz w:val="22"/>
          <w:szCs w:val="22"/>
        </w:rPr>
        <w:t xml:space="preserve">the </w:t>
      </w:r>
      <w:r w:rsidR="00571676">
        <w:rPr>
          <w:rFonts w:ascii="Palatino Linotype" w:hAnsi="Palatino Linotype"/>
          <w:i/>
          <w:sz w:val="22"/>
          <w:szCs w:val="22"/>
        </w:rPr>
        <w:t xml:space="preserve">update </w:t>
      </w:r>
      <w:r w:rsidR="00D827FD">
        <w:rPr>
          <w:rFonts w:ascii="Palatino Linotype" w:hAnsi="Palatino Linotype"/>
          <w:i/>
          <w:sz w:val="22"/>
          <w:szCs w:val="22"/>
        </w:rPr>
        <w:t xml:space="preserve">of </w:t>
      </w:r>
      <w:r w:rsidR="008047CF">
        <w:rPr>
          <w:rFonts w:ascii="Palatino Linotype" w:hAnsi="Palatino Linotype"/>
          <w:i/>
          <w:sz w:val="22"/>
          <w:szCs w:val="22"/>
        </w:rPr>
        <w:t>their GASB 68 note disclosures.</w:t>
      </w:r>
      <w:r w:rsidR="00D827FD">
        <w:rPr>
          <w:rFonts w:ascii="Palatino Linotype" w:hAnsi="Palatino Linotype"/>
          <w:i/>
          <w:sz w:val="22"/>
          <w:szCs w:val="22"/>
        </w:rPr>
        <w:t xml:space="preserve">  P</w:t>
      </w:r>
      <w:r w:rsidRPr="00D6089F">
        <w:rPr>
          <w:rFonts w:ascii="Palatino Linotype" w:hAnsi="Palatino Linotype"/>
          <w:i/>
          <w:sz w:val="22"/>
          <w:szCs w:val="22"/>
        </w:rPr>
        <w:t>lease be aware of the highlighted and bracketed areas (refer to legend below) of the template where the notes require employer input</w:t>
      </w:r>
      <w:r w:rsidR="00C60DBD">
        <w:rPr>
          <w:rFonts w:ascii="Palatino Linotype" w:hAnsi="Palatino Linotype"/>
          <w:i/>
          <w:sz w:val="22"/>
          <w:szCs w:val="22"/>
        </w:rPr>
        <w:t xml:space="preserve"> </w:t>
      </w:r>
      <w:r w:rsidR="002A7A26">
        <w:rPr>
          <w:rFonts w:ascii="Palatino Linotype" w:hAnsi="Palatino Linotype"/>
          <w:i/>
          <w:sz w:val="22"/>
          <w:szCs w:val="22"/>
        </w:rPr>
        <w:t>and/</w:t>
      </w:r>
      <w:r w:rsidR="00C60DBD">
        <w:rPr>
          <w:rFonts w:ascii="Palatino Linotype" w:hAnsi="Palatino Linotype"/>
          <w:i/>
          <w:sz w:val="22"/>
          <w:szCs w:val="22"/>
        </w:rPr>
        <w:t>or</w:t>
      </w:r>
      <w:r w:rsidRPr="00D6089F">
        <w:rPr>
          <w:rFonts w:ascii="Palatino Linotype" w:hAnsi="Palatino Linotype"/>
          <w:i/>
          <w:sz w:val="22"/>
          <w:szCs w:val="22"/>
        </w:rPr>
        <w:t xml:space="preserve"> input from the GASB 68 exhibits on the website.</w:t>
      </w:r>
    </w:p>
    <w:p w14:paraId="64A00A03" w14:textId="77777777" w:rsidR="00944258" w:rsidRPr="00D6089F" w:rsidRDefault="00944258" w:rsidP="00944258">
      <w:pPr>
        <w:rPr>
          <w:rFonts w:ascii="Palatino Linotype" w:hAnsi="Palatino Linotype"/>
          <w:i/>
          <w:sz w:val="22"/>
          <w:szCs w:val="22"/>
        </w:rPr>
      </w:pPr>
    </w:p>
    <w:p w14:paraId="6AAD0E9F" w14:textId="77777777" w:rsidR="00944258" w:rsidRDefault="00944258" w:rsidP="00944258">
      <w:pPr>
        <w:rPr>
          <w:rFonts w:ascii="Palatino Linotype" w:hAnsi="Palatino Linotype"/>
          <w:i/>
          <w:sz w:val="22"/>
          <w:szCs w:val="22"/>
        </w:rPr>
      </w:pPr>
      <w:r w:rsidRPr="00D6089F">
        <w:rPr>
          <w:rFonts w:ascii="Palatino Linotype" w:hAnsi="Palatino Linotype"/>
          <w:i/>
          <w:sz w:val="22"/>
          <w:szCs w:val="22"/>
        </w:rPr>
        <w:t>LASERS has provided this template as a courtesy to its employers, but each employer is responsible for its own Notes to the Financial Statements.  Employers should review the language and other information contained in the template with their auditor</w:t>
      </w:r>
      <w:r w:rsidR="008047CF">
        <w:rPr>
          <w:rFonts w:ascii="Palatino Linotype" w:hAnsi="Palatino Linotype"/>
          <w:i/>
          <w:sz w:val="22"/>
          <w:szCs w:val="22"/>
        </w:rPr>
        <w:t>s</w:t>
      </w:r>
      <w:r w:rsidRPr="00D6089F">
        <w:rPr>
          <w:rFonts w:ascii="Palatino Linotype" w:hAnsi="Palatino Linotype"/>
          <w:i/>
          <w:sz w:val="22"/>
          <w:szCs w:val="22"/>
        </w:rPr>
        <w:t>.</w:t>
      </w:r>
    </w:p>
    <w:p w14:paraId="54B671FB" w14:textId="77777777" w:rsidR="005C68CB" w:rsidRDefault="005C68CB" w:rsidP="00944258">
      <w:pPr>
        <w:rPr>
          <w:rFonts w:ascii="Palatino Linotype" w:hAnsi="Palatino Linotype"/>
          <w:i/>
          <w:sz w:val="22"/>
          <w:szCs w:val="22"/>
        </w:rPr>
      </w:pPr>
    </w:p>
    <w:p w14:paraId="64D6056B" w14:textId="763F9AF3" w:rsidR="005C68CB" w:rsidRDefault="005C68CB" w:rsidP="00944258">
      <w:pPr>
        <w:rPr>
          <w:rFonts w:ascii="Palatino Linotype" w:hAnsi="Palatino Linotype"/>
          <w:i/>
          <w:sz w:val="22"/>
          <w:szCs w:val="22"/>
        </w:rPr>
      </w:pPr>
      <w:r w:rsidRPr="00CE7FA6">
        <w:rPr>
          <w:rFonts w:ascii="Palatino Linotype" w:hAnsi="Palatino Linotype"/>
          <w:b/>
          <w:i/>
          <w:sz w:val="22"/>
          <w:szCs w:val="22"/>
        </w:rPr>
        <w:t xml:space="preserve">Note: </w:t>
      </w:r>
      <w:r>
        <w:rPr>
          <w:rFonts w:ascii="Palatino Linotype" w:hAnsi="Palatino Linotype"/>
          <w:b/>
          <w:i/>
          <w:sz w:val="22"/>
          <w:szCs w:val="22"/>
        </w:rPr>
        <w:t xml:space="preserve">The </w:t>
      </w:r>
      <w:r w:rsidRPr="00CE7FA6">
        <w:rPr>
          <w:rFonts w:ascii="Palatino Linotype" w:hAnsi="Palatino Linotype"/>
          <w:b/>
          <w:i/>
          <w:sz w:val="22"/>
          <w:szCs w:val="22"/>
        </w:rPr>
        <w:t xml:space="preserve">GASB 68 employer template example </w:t>
      </w:r>
      <w:r>
        <w:rPr>
          <w:rFonts w:ascii="Palatino Linotype" w:hAnsi="Palatino Linotype"/>
          <w:b/>
          <w:i/>
          <w:sz w:val="22"/>
          <w:szCs w:val="22"/>
        </w:rPr>
        <w:t xml:space="preserve">for cost-sharing employers </w:t>
      </w:r>
      <w:r w:rsidRPr="00CE7FA6">
        <w:rPr>
          <w:rFonts w:ascii="Palatino Linotype" w:hAnsi="Palatino Linotype"/>
          <w:b/>
          <w:i/>
          <w:sz w:val="22"/>
          <w:szCs w:val="22"/>
        </w:rPr>
        <w:t xml:space="preserve">may be found in </w:t>
      </w:r>
      <w:r>
        <w:rPr>
          <w:rFonts w:ascii="Palatino Linotype" w:hAnsi="Palatino Linotype"/>
          <w:b/>
          <w:i/>
          <w:sz w:val="22"/>
          <w:szCs w:val="22"/>
        </w:rPr>
        <w:t xml:space="preserve">the </w:t>
      </w:r>
      <w:hyperlink r:id="rId8" w:history="1">
        <w:r w:rsidRPr="00D827FD">
          <w:rPr>
            <w:rStyle w:val="Hyperlink"/>
            <w:rFonts w:ascii="Palatino Linotype" w:hAnsi="Palatino Linotype"/>
            <w:b/>
            <w:i/>
            <w:sz w:val="22"/>
            <w:szCs w:val="22"/>
          </w:rPr>
          <w:t>GASB 68 Implementation Guide</w:t>
        </w:r>
      </w:hyperlink>
      <w:r w:rsidRPr="00CE7FA6">
        <w:rPr>
          <w:rFonts w:ascii="Palatino Linotype" w:hAnsi="Palatino Linotype"/>
          <w:b/>
          <w:i/>
          <w:sz w:val="22"/>
          <w:szCs w:val="22"/>
        </w:rPr>
        <w:t xml:space="preserve">, pages 155-161, </w:t>
      </w:r>
      <w:r w:rsidRPr="005679DC">
        <w:rPr>
          <w:rFonts w:ascii="Palatino Linotype" w:hAnsi="Palatino Linotype"/>
          <w:b/>
          <w:i/>
          <w:sz w:val="22"/>
          <w:szCs w:val="22"/>
          <w:u w:val="single"/>
        </w:rPr>
        <w:t xml:space="preserve">Illustration 3a-Note Disclosures and Required Supplementary Information for a Cost-Sharing Employer (No </w:t>
      </w:r>
      <w:proofErr w:type="spellStart"/>
      <w:r w:rsidRPr="005679DC">
        <w:rPr>
          <w:rFonts w:ascii="Palatino Linotype" w:hAnsi="Palatino Linotype"/>
          <w:b/>
          <w:i/>
          <w:sz w:val="22"/>
          <w:szCs w:val="22"/>
          <w:u w:val="single"/>
        </w:rPr>
        <w:t>Nonemployer</w:t>
      </w:r>
      <w:proofErr w:type="spellEnd"/>
      <w:r w:rsidRPr="005679DC">
        <w:rPr>
          <w:rFonts w:ascii="Palatino Linotype" w:hAnsi="Palatino Linotype"/>
          <w:b/>
          <w:i/>
          <w:sz w:val="22"/>
          <w:szCs w:val="22"/>
          <w:u w:val="single"/>
        </w:rPr>
        <w:t xml:space="preserve"> Contributing Entities)</w:t>
      </w:r>
    </w:p>
    <w:p w14:paraId="0C16DB6E" w14:textId="77777777" w:rsidR="00944258" w:rsidRPr="000D21E4" w:rsidRDefault="00BE55F2" w:rsidP="00944258">
      <w:pPr>
        <w:jc w:val="center"/>
        <w:rPr>
          <w:rFonts w:ascii="Palatino Linotype" w:hAnsi="Palatino Linotype"/>
        </w:rPr>
      </w:pPr>
      <w:r>
        <w:rPr>
          <w:rFonts w:ascii="Palatino Linotype" w:hAnsi="Palatino Linotype"/>
          <w:b/>
          <w:sz w:val="22"/>
          <w:szCs w:val="22"/>
        </w:rPr>
        <w:pict w14:anchorId="4D13705D">
          <v:rect id="_x0000_i1025" style="width:0;height:1.5pt" o:hralign="center" o:hrstd="t" o:hr="t" fillcolor="#a0a0a0" stroked="f"/>
        </w:pict>
      </w:r>
    </w:p>
    <w:p w14:paraId="63ECD37D" w14:textId="77777777" w:rsidR="00944258" w:rsidRDefault="00944258" w:rsidP="00944258">
      <w:pPr>
        <w:jc w:val="center"/>
        <w:rPr>
          <w:rFonts w:ascii="Palatino Linotype" w:hAnsi="Palatino Linotype"/>
          <w:b/>
        </w:rPr>
      </w:pPr>
    </w:p>
    <w:p w14:paraId="0F7A5C06" w14:textId="77777777" w:rsidR="00944258" w:rsidRDefault="00944258" w:rsidP="00944258">
      <w:pPr>
        <w:jc w:val="center"/>
        <w:rPr>
          <w:rFonts w:ascii="Palatino Linotype" w:hAnsi="Palatino Linotype"/>
          <w:b/>
        </w:rPr>
      </w:pPr>
    </w:p>
    <w:p w14:paraId="13A87CC5" w14:textId="77777777" w:rsidR="00944258" w:rsidRDefault="00944258" w:rsidP="00944258">
      <w:pPr>
        <w:jc w:val="center"/>
        <w:rPr>
          <w:rFonts w:ascii="Palatino Linotype" w:hAnsi="Palatino Linotype"/>
          <w:b/>
        </w:rPr>
      </w:pPr>
    </w:p>
    <w:p w14:paraId="41C73ED3" w14:textId="77777777" w:rsidR="00944258" w:rsidRDefault="00944258" w:rsidP="00944258">
      <w:pPr>
        <w:jc w:val="center"/>
        <w:rPr>
          <w:rFonts w:ascii="Palatino Linotype" w:hAnsi="Palatino Linotype"/>
          <w:b/>
        </w:rPr>
      </w:pPr>
    </w:p>
    <w:p w14:paraId="13C1F368" w14:textId="77777777" w:rsidR="00944258" w:rsidRDefault="00944258" w:rsidP="00944258">
      <w:pPr>
        <w:jc w:val="center"/>
        <w:rPr>
          <w:rFonts w:ascii="Palatino Linotype" w:hAnsi="Palatino Linotype"/>
          <w:b/>
        </w:rPr>
      </w:pPr>
    </w:p>
    <w:p w14:paraId="12A38C97" w14:textId="77777777" w:rsidR="00944258" w:rsidRDefault="00944258" w:rsidP="00944258">
      <w:pPr>
        <w:jc w:val="center"/>
        <w:rPr>
          <w:rFonts w:ascii="Palatino Linotype" w:hAnsi="Palatino Linotype"/>
          <w:b/>
        </w:rPr>
      </w:pPr>
    </w:p>
    <w:p w14:paraId="27552BFD" w14:textId="77777777" w:rsidR="00944258" w:rsidRDefault="00944258" w:rsidP="00944258">
      <w:pPr>
        <w:jc w:val="center"/>
        <w:rPr>
          <w:rFonts w:ascii="Palatino Linotype" w:hAnsi="Palatino Linotype"/>
          <w:b/>
        </w:rPr>
      </w:pPr>
    </w:p>
    <w:p w14:paraId="0985460E" w14:textId="77777777" w:rsidR="00944258" w:rsidRDefault="00944258" w:rsidP="00944258">
      <w:pPr>
        <w:jc w:val="center"/>
        <w:rPr>
          <w:rFonts w:ascii="Palatino Linotype" w:hAnsi="Palatino Linotype"/>
          <w:b/>
        </w:rPr>
      </w:pPr>
    </w:p>
    <w:p w14:paraId="58DD42F4" w14:textId="77777777" w:rsidR="00944258" w:rsidRDefault="00944258" w:rsidP="00944258">
      <w:pPr>
        <w:jc w:val="center"/>
        <w:rPr>
          <w:rFonts w:ascii="Palatino Linotype" w:hAnsi="Palatino Linotype"/>
          <w:b/>
        </w:rPr>
      </w:pPr>
    </w:p>
    <w:p w14:paraId="3B5E6980" w14:textId="77777777" w:rsidR="00944258" w:rsidRDefault="00944258" w:rsidP="00944258">
      <w:pPr>
        <w:jc w:val="center"/>
        <w:rPr>
          <w:rFonts w:ascii="Palatino Linotype" w:hAnsi="Palatino Linotype"/>
          <w:b/>
        </w:rPr>
      </w:pPr>
    </w:p>
    <w:p w14:paraId="30022BB1" w14:textId="77777777" w:rsidR="00944258" w:rsidRDefault="00944258" w:rsidP="00944258">
      <w:pPr>
        <w:jc w:val="center"/>
        <w:rPr>
          <w:rFonts w:ascii="Palatino Linotype" w:hAnsi="Palatino Linotype"/>
          <w:b/>
        </w:rPr>
      </w:pPr>
    </w:p>
    <w:p w14:paraId="5E52F71F" w14:textId="77777777" w:rsidR="00944258" w:rsidRDefault="00944258" w:rsidP="00944258">
      <w:pPr>
        <w:jc w:val="center"/>
        <w:rPr>
          <w:rFonts w:ascii="Palatino Linotype" w:hAnsi="Palatino Linotype"/>
          <w:b/>
        </w:rPr>
      </w:pPr>
    </w:p>
    <w:p w14:paraId="2FDF4797" w14:textId="77777777" w:rsidR="00944258" w:rsidRDefault="00944258" w:rsidP="00944258">
      <w:pPr>
        <w:jc w:val="center"/>
        <w:rPr>
          <w:rFonts w:ascii="Palatino Linotype" w:hAnsi="Palatino Linotype"/>
          <w:b/>
        </w:rPr>
      </w:pPr>
    </w:p>
    <w:p w14:paraId="23CA31D7" w14:textId="77777777" w:rsidR="00944258" w:rsidRDefault="00944258" w:rsidP="00944258">
      <w:pPr>
        <w:jc w:val="center"/>
        <w:rPr>
          <w:rFonts w:ascii="Palatino Linotype" w:hAnsi="Palatino Linotype"/>
          <w:b/>
        </w:rPr>
      </w:pPr>
    </w:p>
    <w:p w14:paraId="1EE6D19C" w14:textId="77777777" w:rsidR="00944258" w:rsidRDefault="00944258" w:rsidP="00944258">
      <w:pPr>
        <w:jc w:val="center"/>
        <w:rPr>
          <w:rFonts w:ascii="Palatino Linotype" w:hAnsi="Palatino Linotype"/>
          <w:b/>
        </w:rPr>
      </w:pPr>
    </w:p>
    <w:p w14:paraId="1804129C" w14:textId="77777777" w:rsidR="00944258" w:rsidRDefault="00944258" w:rsidP="00944258">
      <w:pPr>
        <w:jc w:val="center"/>
        <w:rPr>
          <w:rFonts w:ascii="Palatino Linotype" w:hAnsi="Palatino Linotype"/>
          <w:b/>
        </w:rPr>
      </w:pPr>
    </w:p>
    <w:p w14:paraId="6F4AA257" w14:textId="77777777" w:rsidR="00944258" w:rsidRDefault="00944258" w:rsidP="00944258">
      <w:pPr>
        <w:jc w:val="center"/>
        <w:rPr>
          <w:rFonts w:ascii="Palatino Linotype" w:hAnsi="Palatino Linotype"/>
          <w:b/>
        </w:rPr>
      </w:pPr>
    </w:p>
    <w:p w14:paraId="1D42E23D" w14:textId="77777777" w:rsidR="00944258" w:rsidRDefault="00944258" w:rsidP="00944258">
      <w:pPr>
        <w:jc w:val="center"/>
        <w:rPr>
          <w:rFonts w:ascii="Palatino Linotype" w:hAnsi="Palatino Linotype"/>
          <w:b/>
        </w:rPr>
      </w:pPr>
    </w:p>
    <w:p w14:paraId="29EDF0BD" w14:textId="77777777" w:rsidR="00944258" w:rsidRDefault="00944258" w:rsidP="00944258">
      <w:pPr>
        <w:jc w:val="center"/>
        <w:rPr>
          <w:rFonts w:ascii="Palatino Linotype" w:hAnsi="Palatino Linotype"/>
          <w:b/>
        </w:rPr>
      </w:pPr>
    </w:p>
    <w:p w14:paraId="28394D71" w14:textId="77777777" w:rsidR="00944258" w:rsidRDefault="00944258" w:rsidP="00944258">
      <w:pPr>
        <w:jc w:val="center"/>
        <w:rPr>
          <w:rFonts w:ascii="Palatino Linotype" w:hAnsi="Palatino Linotype"/>
          <w:b/>
        </w:rPr>
      </w:pPr>
    </w:p>
    <w:p w14:paraId="325F895A" w14:textId="77777777" w:rsidR="00944258" w:rsidRDefault="00944258" w:rsidP="00944258">
      <w:pPr>
        <w:jc w:val="center"/>
        <w:rPr>
          <w:rFonts w:ascii="Palatino Linotype" w:hAnsi="Palatino Linotype"/>
          <w:b/>
        </w:rPr>
      </w:pPr>
    </w:p>
    <w:p w14:paraId="16251159" w14:textId="77777777" w:rsidR="00944258" w:rsidRDefault="008047CF" w:rsidP="00944258">
      <w:pPr>
        <w:jc w:val="center"/>
        <w:rPr>
          <w:rFonts w:ascii="Palatino Linotype" w:hAnsi="Palatino Linotype"/>
          <w:b/>
        </w:rPr>
      </w:pPr>
      <w:r>
        <w:rPr>
          <w:rFonts w:ascii="Palatino Linotype" w:hAnsi="Palatino Linotype"/>
          <w:b/>
        </w:rPr>
        <w:br w:type="page"/>
      </w:r>
    </w:p>
    <w:tbl>
      <w:tblPr>
        <w:tblStyle w:val="TableGrid"/>
        <w:tblpPr w:leftFromText="180" w:rightFromText="180" w:vertAnchor="text" w:horzAnchor="margin" w:tblpXSpec="right" w:tblpY="174"/>
        <w:tblW w:w="3109" w:type="dxa"/>
        <w:tblLook w:val="04A0" w:firstRow="1" w:lastRow="0" w:firstColumn="1" w:lastColumn="0" w:noHBand="0" w:noVBand="1"/>
      </w:tblPr>
      <w:tblGrid>
        <w:gridCol w:w="3109"/>
      </w:tblGrid>
      <w:tr w:rsidR="000E0D3E" w14:paraId="411A0F4F" w14:textId="77777777" w:rsidTr="000E0D3E">
        <w:trPr>
          <w:trHeight w:val="268"/>
        </w:trPr>
        <w:tc>
          <w:tcPr>
            <w:tcW w:w="3109" w:type="dxa"/>
            <w:shd w:val="clear" w:color="auto" w:fill="FFFF00"/>
          </w:tcPr>
          <w:p w14:paraId="27173A08" w14:textId="77777777" w:rsidR="000E0D3E" w:rsidRPr="00F071DA" w:rsidRDefault="000E0D3E" w:rsidP="000E0D3E">
            <w:pPr>
              <w:pStyle w:val="Header"/>
              <w:rPr>
                <w:rFonts w:ascii="Palatino Linotype" w:hAnsi="Palatino Linotype"/>
                <w:b/>
              </w:rPr>
            </w:pPr>
            <w:r w:rsidRPr="00F071DA">
              <w:rPr>
                <w:rFonts w:ascii="Palatino Linotype" w:hAnsi="Palatino Linotype"/>
                <w:b/>
              </w:rPr>
              <w:lastRenderedPageBreak/>
              <w:t>Denotes</w:t>
            </w:r>
            <w:r>
              <w:rPr>
                <w:rFonts w:ascii="Palatino Linotype" w:hAnsi="Palatino Linotype"/>
                <w:b/>
              </w:rPr>
              <w:t xml:space="preserve"> Employer</w:t>
            </w:r>
            <w:r w:rsidRPr="00F071DA">
              <w:rPr>
                <w:rFonts w:ascii="Palatino Linotype" w:hAnsi="Palatino Linotype"/>
                <w:b/>
              </w:rPr>
              <w:t xml:space="preserve"> Input </w:t>
            </w:r>
          </w:p>
        </w:tc>
      </w:tr>
      <w:tr w:rsidR="000E0D3E" w14:paraId="2AE17E5D" w14:textId="77777777" w:rsidTr="000E0D3E">
        <w:trPr>
          <w:trHeight w:val="268"/>
        </w:trPr>
        <w:tc>
          <w:tcPr>
            <w:tcW w:w="3109" w:type="dxa"/>
            <w:shd w:val="clear" w:color="auto" w:fill="00FFFF"/>
          </w:tcPr>
          <w:p w14:paraId="1FCA31B4" w14:textId="77777777" w:rsidR="000E0D3E" w:rsidRPr="00F071DA" w:rsidRDefault="000E0D3E" w:rsidP="00C60DBD">
            <w:pPr>
              <w:pStyle w:val="Header"/>
              <w:rPr>
                <w:rFonts w:ascii="Palatino Linotype" w:hAnsi="Palatino Linotype"/>
                <w:b/>
              </w:rPr>
            </w:pPr>
            <w:r w:rsidRPr="00F071DA">
              <w:rPr>
                <w:rFonts w:ascii="Palatino Linotype" w:hAnsi="Palatino Linotype"/>
                <w:b/>
              </w:rPr>
              <w:t xml:space="preserve">Denotes Input from </w:t>
            </w:r>
            <w:r>
              <w:rPr>
                <w:rFonts w:ascii="Palatino Linotype" w:hAnsi="Palatino Linotype"/>
                <w:b/>
              </w:rPr>
              <w:t>GASB 68 E</w:t>
            </w:r>
            <w:r w:rsidRPr="00F071DA">
              <w:rPr>
                <w:rFonts w:ascii="Palatino Linotype" w:hAnsi="Palatino Linotype"/>
                <w:b/>
              </w:rPr>
              <w:t>xhibits</w:t>
            </w:r>
            <w:r>
              <w:rPr>
                <w:rFonts w:ascii="Palatino Linotype" w:hAnsi="Palatino Linotype"/>
                <w:b/>
              </w:rPr>
              <w:t xml:space="preserve"> </w:t>
            </w:r>
          </w:p>
        </w:tc>
      </w:tr>
    </w:tbl>
    <w:p w14:paraId="27B98390" w14:textId="77777777" w:rsidR="000E0D3E" w:rsidRDefault="000E0D3E" w:rsidP="00944258">
      <w:pPr>
        <w:jc w:val="center"/>
        <w:rPr>
          <w:rFonts w:ascii="Palatino Linotype" w:hAnsi="Palatino Linotype"/>
          <w:b/>
        </w:rPr>
      </w:pPr>
    </w:p>
    <w:p w14:paraId="12F8F39F" w14:textId="77777777" w:rsidR="000E0D3E" w:rsidRDefault="000E0D3E" w:rsidP="00944258">
      <w:pPr>
        <w:jc w:val="center"/>
        <w:rPr>
          <w:rFonts w:ascii="Palatino Linotype" w:hAnsi="Palatino Linotype"/>
          <w:b/>
        </w:rPr>
      </w:pPr>
    </w:p>
    <w:p w14:paraId="73A6D919" w14:textId="77777777" w:rsidR="000E0D3E" w:rsidRDefault="000E0D3E" w:rsidP="00944258">
      <w:pPr>
        <w:jc w:val="center"/>
        <w:rPr>
          <w:rFonts w:ascii="Palatino Linotype" w:hAnsi="Palatino Linotype"/>
          <w:b/>
        </w:rPr>
      </w:pPr>
    </w:p>
    <w:p w14:paraId="62E39914" w14:textId="77777777" w:rsidR="000E0D3E" w:rsidRDefault="000E0D3E" w:rsidP="00944258">
      <w:pPr>
        <w:jc w:val="center"/>
        <w:rPr>
          <w:rFonts w:ascii="Palatino Linotype" w:hAnsi="Palatino Linotype"/>
          <w:b/>
        </w:rPr>
      </w:pPr>
    </w:p>
    <w:p w14:paraId="50747DFD" w14:textId="77777777" w:rsidR="000E0D3E" w:rsidRDefault="000E0D3E" w:rsidP="00944258">
      <w:pPr>
        <w:jc w:val="center"/>
        <w:rPr>
          <w:rFonts w:ascii="Palatino Linotype" w:hAnsi="Palatino Linotype"/>
          <w:b/>
        </w:rPr>
      </w:pPr>
    </w:p>
    <w:p w14:paraId="20123811" w14:textId="77777777" w:rsidR="000E0D3E" w:rsidRDefault="000E0D3E" w:rsidP="00944258">
      <w:pPr>
        <w:jc w:val="center"/>
        <w:rPr>
          <w:rFonts w:ascii="Palatino Linotype" w:hAnsi="Palatino Linotype"/>
          <w:b/>
        </w:rPr>
      </w:pPr>
    </w:p>
    <w:p w14:paraId="75FD9FE4" w14:textId="77777777" w:rsidR="00944258" w:rsidRPr="00A17F89" w:rsidRDefault="00944258" w:rsidP="00944258">
      <w:pPr>
        <w:jc w:val="center"/>
        <w:rPr>
          <w:rFonts w:ascii="Palatino Linotype" w:hAnsi="Palatino Linotype"/>
          <w:b/>
        </w:rPr>
      </w:pPr>
      <w:r w:rsidRPr="00A17F89">
        <w:rPr>
          <w:rFonts w:ascii="Palatino Linotype" w:hAnsi="Palatino Linotype"/>
          <w:b/>
        </w:rPr>
        <w:t>Employer Name (Agency)</w:t>
      </w:r>
    </w:p>
    <w:p w14:paraId="1DEBE51E" w14:textId="77777777" w:rsidR="00944258" w:rsidRPr="00A17F89" w:rsidRDefault="00944258" w:rsidP="00944258">
      <w:pPr>
        <w:jc w:val="center"/>
        <w:rPr>
          <w:rFonts w:ascii="Palatino Linotype" w:hAnsi="Palatino Linotype"/>
          <w:b/>
        </w:rPr>
      </w:pPr>
      <w:r w:rsidRPr="00A17F89">
        <w:rPr>
          <w:rFonts w:ascii="Palatino Linotype" w:hAnsi="Palatino Linotype"/>
          <w:b/>
        </w:rPr>
        <w:t>Notes to the Financial Statements</w:t>
      </w:r>
    </w:p>
    <w:p w14:paraId="7DC169F7" w14:textId="67AE5041" w:rsidR="00944258" w:rsidRPr="00A17F89" w:rsidRDefault="00944258" w:rsidP="00944258">
      <w:pPr>
        <w:jc w:val="center"/>
        <w:rPr>
          <w:rFonts w:ascii="Palatino Linotype" w:hAnsi="Palatino Linotype"/>
          <w:b/>
        </w:rPr>
      </w:pPr>
      <w:r w:rsidRPr="00A17F89">
        <w:rPr>
          <w:rFonts w:ascii="Palatino Linotype" w:hAnsi="Palatino Linotype"/>
          <w:b/>
        </w:rPr>
        <w:t xml:space="preserve">For the Year Ended June 30, </w:t>
      </w:r>
      <w:r w:rsidR="00571676" w:rsidRPr="00A17F89">
        <w:rPr>
          <w:rFonts w:ascii="Palatino Linotype" w:hAnsi="Palatino Linotype"/>
          <w:b/>
        </w:rPr>
        <w:t>201</w:t>
      </w:r>
      <w:r w:rsidR="00EB4D1B">
        <w:rPr>
          <w:rFonts w:ascii="Palatino Linotype" w:hAnsi="Palatino Linotype"/>
          <w:b/>
        </w:rPr>
        <w:t>7*</w:t>
      </w:r>
    </w:p>
    <w:p w14:paraId="000B202C" w14:textId="77777777" w:rsidR="00944258" w:rsidRPr="00A17F89" w:rsidRDefault="00944258" w:rsidP="00944258">
      <w:pPr>
        <w:rPr>
          <w:rFonts w:ascii="Palatino Linotype" w:hAnsi="Palatino Linotype"/>
          <w:b/>
        </w:rPr>
      </w:pPr>
    </w:p>
    <w:p w14:paraId="45DDD9C7" w14:textId="77777777" w:rsidR="00944258" w:rsidRPr="007B0183" w:rsidRDefault="00944258" w:rsidP="00944258">
      <w:pPr>
        <w:jc w:val="center"/>
        <w:rPr>
          <w:rFonts w:ascii="Palatino Linotype" w:hAnsi="Palatino Linotype"/>
        </w:rPr>
      </w:pPr>
    </w:p>
    <w:p w14:paraId="6AF87E0F"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Summary of Significant Accounting Policies</w:t>
      </w:r>
    </w:p>
    <w:p w14:paraId="5A08F9F6" w14:textId="77777777" w:rsidR="00944258" w:rsidRPr="007B0183" w:rsidRDefault="00944258" w:rsidP="00944258">
      <w:pPr>
        <w:rPr>
          <w:rFonts w:ascii="Palatino Linotype" w:hAnsi="Palatino Linotype"/>
          <w:u w:val="single"/>
        </w:rPr>
      </w:pPr>
    </w:p>
    <w:p w14:paraId="256A3D97"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Pensions</w:t>
      </w:r>
    </w:p>
    <w:p w14:paraId="77C9A0EB" w14:textId="77777777" w:rsidR="000351B6" w:rsidRPr="00D6089F" w:rsidRDefault="000351B6" w:rsidP="00E40A01">
      <w:pPr>
        <w:spacing w:line="200" w:lineRule="exact"/>
        <w:rPr>
          <w:rFonts w:ascii="Palatino Linotype" w:hAnsi="Palatino Linotype"/>
          <w:b/>
          <w:i/>
          <w:sz w:val="22"/>
          <w:szCs w:val="22"/>
        </w:rPr>
      </w:pPr>
    </w:p>
    <w:p w14:paraId="0D2F5A20" w14:textId="77777777"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For purposes of measuring the Net Pension Liability, deferred outflows of resources and deferred inflows of resources related to pensions, and pension expense, information about the fiduciary net position of the Louisiana State Employees’ Retirement System (LASERS) and additions to/deductions from LASERS’ fiduciary net position have been determined on the same basis as they are reported by LASERS.  For this purpose, benefit payments (including refunds of employee contributions) are recognized when due and payable in accordance with the benefit terms.  Investments are reported at fair value.</w:t>
      </w:r>
    </w:p>
    <w:p w14:paraId="6CA12FC0" w14:textId="77777777" w:rsidR="00944258" w:rsidRPr="00D6089F" w:rsidRDefault="00944258" w:rsidP="00944258">
      <w:pPr>
        <w:rPr>
          <w:rFonts w:ascii="Palatino Linotype" w:hAnsi="Palatino Linotype"/>
          <w:b/>
          <w:sz w:val="22"/>
          <w:szCs w:val="22"/>
        </w:rPr>
      </w:pPr>
    </w:p>
    <w:p w14:paraId="7EB1C671"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General Information about the Pension Plan</w:t>
      </w:r>
    </w:p>
    <w:p w14:paraId="0516DA43" w14:textId="77777777" w:rsidR="00944258" w:rsidRPr="00D6089F" w:rsidRDefault="00944258" w:rsidP="00944258">
      <w:pPr>
        <w:rPr>
          <w:rFonts w:ascii="Palatino Linotype" w:hAnsi="Palatino Linotype"/>
          <w:sz w:val="22"/>
          <w:szCs w:val="22"/>
          <w:u w:val="single"/>
        </w:rPr>
      </w:pPr>
    </w:p>
    <w:p w14:paraId="58BFDD88" w14:textId="77777777" w:rsidR="00944258" w:rsidRDefault="00944258" w:rsidP="00944258">
      <w:pPr>
        <w:jc w:val="both"/>
        <w:rPr>
          <w:rFonts w:ascii="Palatino Linotype" w:hAnsi="Palatino Linotype"/>
          <w:b/>
          <w:i/>
          <w:sz w:val="22"/>
          <w:szCs w:val="22"/>
        </w:rPr>
      </w:pPr>
      <w:r w:rsidRPr="00D6089F">
        <w:rPr>
          <w:rFonts w:ascii="Palatino Linotype" w:hAnsi="Palatino Linotype"/>
          <w:b/>
          <w:i/>
          <w:sz w:val="22"/>
          <w:szCs w:val="22"/>
        </w:rPr>
        <w:t>Plan Description</w:t>
      </w:r>
    </w:p>
    <w:p w14:paraId="53A29627" w14:textId="77777777" w:rsidR="000351B6" w:rsidRPr="00D6089F" w:rsidRDefault="000351B6" w:rsidP="00E40A01">
      <w:pPr>
        <w:spacing w:line="200" w:lineRule="exact"/>
        <w:jc w:val="both"/>
        <w:rPr>
          <w:rFonts w:ascii="Palatino Linotype" w:hAnsi="Palatino Linotype"/>
          <w:b/>
          <w:i/>
          <w:sz w:val="22"/>
          <w:szCs w:val="22"/>
        </w:rPr>
      </w:pPr>
    </w:p>
    <w:p w14:paraId="1F6737A7" w14:textId="76FF23D4" w:rsidR="00944258" w:rsidRPr="00D6089F" w:rsidRDefault="00944258" w:rsidP="00944258">
      <w:pPr>
        <w:tabs>
          <w:tab w:val="left" w:pos="-720"/>
          <w:tab w:val="left" w:pos="0"/>
          <w:tab w:val="left" w:pos="406"/>
          <w:tab w:val="left" w:pos="760"/>
          <w:tab w:val="left" w:pos="1142"/>
          <w:tab w:val="left" w:pos="1468"/>
          <w:tab w:val="left" w:pos="6669"/>
          <w:tab w:val="right" w:pos="8191"/>
          <w:tab w:val="left" w:pos="8568"/>
          <w:tab w:val="right" w:pos="10093"/>
        </w:tabs>
        <w:jc w:val="both"/>
        <w:rPr>
          <w:rFonts w:ascii="Palatino Linotype" w:hAnsi="Palatino Linotype"/>
          <w:sz w:val="22"/>
          <w:szCs w:val="22"/>
        </w:rPr>
      </w:pPr>
      <w:r w:rsidRPr="00D6089F">
        <w:rPr>
          <w:rFonts w:ascii="Palatino Linotype" w:hAnsi="Palatino Linotype"/>
          <w:sz w:val="22"/>
          <w:szCs w:val="22"/>
        </w:rPr>
        <w:t xml:space="preserve">Employees of </w:t>
      </w:r>
      <w:r w:rsidR="00E34465">
        <w:rPr>
          <w:rFonts w:ascii="Palatino Linotype" w:hAnsi="Palatino Linotype"/>
          <w:sz w:val="22"/>
          <w:szCs w:val="22"/>
        </w:rPr>
        <w:t>[</w:t>
      </w:r>
      <w:r w:rsidRPr="005A42B1">
        <w:rPr>
          <w:rFonts w:ascii="Palatino Linotype" w:hAnsi="Palatino Linotype"/>
          <w:sz w:val="22"/>
          <w:szCs w:val="22"/>
          <w:highlight w:val="yellow"/>
        </w:rPr>
        <w:t>the Agency</w:t>
      </w:r>
      <w:r w:rsidR="00E34465">
        <w:rPr>
          <w:rFonts w:ascii="Palatino Linotype" w:hAnsi="Palatino Linotype"/>
          <w:sz w:val="22"/>
          <w:szCs w:val="22"/>
        </w:rPr>
        <w:t>]</w:t>
      </w:r>
      <w:r w:rsidRPr="00D6089F">
        <w:rPr>
          <w:rFonts w:ascii="Palatino Linotype" w:hAnsi="Palatino Linotype"/>
          <w:sz w:val="22"/>
          <w:szCs w:val="22"/>
        </w:rPr>
        <w:t xml:space="preserve"> are provided with pensions through </w:t>
      </w:r>
      <w:r w:rsidR="00F42553">
        <w:rPr>
          <w:rFonts w:ascii="Palatino Linotype" w:hAnsi="Palatino Linotype"/>
          <w:sz w:val="22"/>
          <w:szCs w:val="22"/>
        </w:rPr>
        <w:t xml:space="preserve">a </w:t>
      </w:r>
      <w:r w:rsidRPr="00D6089F">
        <w:rPr>
          <w:rFonts w:ascii="Palatino Linotype" w:hAnsi="Palatino Linotype"/>
          <w:sz w:val="22"/>
          <w:szCs w:val="22"/>
        </w:rPr>
        <w:t xml:space="preserve">cost-sharing multiple-employer defined benefit plan administered by the Louisiana State Employees’ Retirement System (LASERS). Section 401 of Title 11 of the Louisiana Revised Statutes (La. R.S. 11:401) grants to LASERS Board of Trustees and the Louisiana Legislature the authority to review administration, benefit terms, investments, and funding of the plan.  LASERS issues a publicly available financial report that can be obtained at </w:t>
      </w:r>
      <w:hyperlink r:id="rId9" w:history="1">
        <w:r w:rsidR="003A12D4" w:rsidRPr="008968C0">
          <w:rPr>
            <w:rStyle w:val="Hyperlink"/>
            <w:rFonts w:ascii="Palatino Linotype" w:hAnsi="Palatino Linotype"/>
            <w:sz w:val="22"/>
            <w:szCs w:val="22"/>
          </w:rPr>
          <w:t>www.lasersonline.org</w:t>
        </w:r>
      </w:hyperlink>
      <w:r w:rsidR="003A12D4">
        <w:rPr>
          <w:rFonts w:ascii="Palatino Linotype" w:hAnsi="Palatino Linotype"/>
          <w:sz w:val="22"/>
          <w:szCs w:val="22"/>
        </w:rPr>
        <w:t>.</w:t>
      </w:r>
      <w:r w:rsidRPr="00D6089F">
        <w:rPr>
          <w:rFonts w:ascii="Palatino Linotype" w:hAnsi="Palatino Linotype"/>
          <w:sz w:val="22"/>
          <w:szCs w:val="22"/>
        </w:rPr>
        <w:t xml:space="preserve"> </w:t>
      </w:r>
    </w:p>
    <w:p w14:paraId="55CEC135" w14:textId="77777777" w:rsidR="00944258" w:rsidRPr="00D6089F" w:rsidRDefault="00944258" w:rsidP="00944258">
      <w:pPr>
        <w:widowControl w:val="0"/>
        <w:jc w:val="both"/>
        <w:rPr>
          <w:rFonts w:ascii="Palatino Linotype" w:hAnsi="Palatino Linotype"/>
          <w:sz w:val="22"/>
          <w:szCs w:val="22"/>
        </w:rPr>
      </w:pPr>
    </w:p>
    <w:p w14:paraId="77D6E94A" w14:textId="77777777" w:rsidR="00944258" w:rsidRDefault="00944258" w:rsidP="00944258">
      <w:pPr>
        <w:rPr>
          <w:rFonts w:ascii="Palatino Linotype" w:hAnsi="Palatino Linotype"/>
          <w:b/>
          <w:i/>
          <w:sz w:val="22"/>
          <w:szCs w:val="22"/>
        </w:rPr>
      </w:pPr>
      <w:r w:rsidRPr="00D6089F">
        <w:rPr>
          <w:rFonts w:ascii="Palatino Linotype" w:hAnsi="Palatino Linotype"/>
          <w:b/>
          <w:i/>
          <w:sz w:val="22"/>
          <w:szCs w:val="22"/>
        </w:rPr>
        <w:t>Benefits Provided</w:t>
      </w:r>
    </w:p>
    <w:p w14:paraId="0AC0B053" w14:textId="77777777" w:rsidR="000351B6" w:rsidRPr="00D6089F" w:rsidRDefault="000351B6" w:rsidP="0048407F">
      <w:pPr>
        <w:spacing w:line="200" w:lineRule="exact"/>
        <w:rPr>
          <w:rFonts w:ascii="Palatino Linotype" w:hAnsi="Palatino Linotype"/>
          <w:i/>
          <w:sz w:val="22"/>
          <w:szCs w:val="22"/>
        </w:rPr>
      </w:pPr>
    </w:p>
    <w:p w14:paraId="1D391E1F" w14:textId="1CCC836B" w:rsidR="00944258" w:rsidRDefault="00FD3555" w:rsidP="00944258">
      <w:pPr>
        <w:jc w:val="both"/>
        <w:rPr>
          <w:rFonts w:ascii="Palatino Linotype" w:hAnsi="Palatino Linotype"/>
        </w:rPr>
      </w:pPr>
      <w:r>
        <w:rPr>
          <w:rFonts w:ascii="Palatino Linotype" w:hAnsi="Palatino Linotype"/>
          <w:sz w:val="22"/>
          <w:szCs w:val="22"/>
        </w:rPr>
        <w:t>The following is a description of the plan and its benefits and is provided for general information purposes only.  Participants should refer to the appropriate statutes for more complete information.</w:t>
      </w:r>
      <w:r w:rsidR="00944258" w:rsidRPr="00F72231">
        <w:rPr>
          <w:rFonts w:ascii="Palatino Linotype" w:hAnsi="Palatino Linotype"/>
        </w:rPr>
        <w:t xml:space="preserve"> </w:t>
      </w:r>
    </w:p>
    <w:p w14:paraId="67F01FBB" w14:textId="77777777" w:rsidR="00EB4D1B" w:rsidRDefault="00EB4D1B" w:rsidP="00944258">
      <w:pPr>
        <w:jc w:val="both"/>
        <w:rPr>
          <w:rFonts w:ascii="Palatino Linotype" w:hAnsi="Palatino Linotype"/>
        </w:rPr>
      </w:pPr>
    </w:p>
    <w:p w14:paraId="4997E5CC" w14:textId="1CB923A4" w:rsidR="00EB4D1B" w:rsidRPr="005F4BF9" w:rsidRDefault="00EB4D1B" w:rsidP="00944258">
      <w:pPr>
        <w:jc w:val="both"/>
        <w:rPr>
          <w:rFonts w:ascii="Palatino Linotype" w:hAnsi="Palatino Linotype"/>
          <w:sz w:val="20"/>
          <w:szCs w:val="20"/>
        </w:rPr>
      </w:pPr>
      <w:r w:rsidRPr="005F4BF9">
        <w:rPr>
          <w:rFonts w:ascii="Palatino Linotype" w:hAnsi="Palatino Linotype"/>
          <w:sz w:val="20"/>
          <w:szCs w:val="20"/>
        </w:rPr>
        <w:t>*For fiscal years ending July 1, 2016 through June 30, 2017</w:t>
      </w:r>
    </w:p>
    <w:p w14:paraId="3345470E" w14:textId="77777777" w:rsidR="00944258" w:rsidRDefault="00E40A01" w:rsidP="00944258">
      <w:pPr>
        <w:pStyle w:val="ListParagraph"/>
        <w:numPr>
          <w:ilvl w:val="0"/>
          <w:numId w:val="4"/>
        </w:numPr>
        <w:jc w:val="both"/>
        <w:rPr>
          <w:rFonts w:ascii="Palatino Linotype" w:hAnsi="Palatino Linotype"/>
          <w:b/>
          <w:sz w:val="22"/>
          <w:szCs w:val="22"/>
        </w:rPr>
      </w:pPr>
      <w:r>
        <w:rPr>
          <w:rFonts w:ascii="Palatino Linotype" w:hAnsi="Palatino Linotype"/>
          <w:b/>
          <w:sz w:val="22"/>
          <w:szCs w:val="22"/>
        </w:rPr>
        <w:br w:type="page"/>
      </w:r>
      <w:r w:rsidR="00944258" w:rsidRPr="00D6089F">
        <w:rPr>
          <w:rFonts w:ascii="Palatino Linotype" w:hAnsi="Palatino Linotype"/>
          <w:b/>
          <w:sz w:val="22"/>
          <w:szCs w:val="22"/>
        </w:rPr>
        <w:lastRenderedPageBreak/>
        <w:t>Retirement</w:t>
      </w:r>
    </w:p>
    <w:p w14:paraId="03C3BBFB" w14:textId="77777777" w:rsidR="000351B6" w:rsidRPr="0048407F" w:rsidRDefault="000351B6" w:rsidP="0048407F">
      <w:pPr>
        <w:spacing w:line="200" w:lineRule="exact"/>
        <w:jc w:val="both"/>
        <w:rPr>
          <w:rFonts w:ascii="Palatino Linotype" w:hAnsi="Palatino Linotype"/>
          <w:b/>
          <w:sz w:val="22"/>
          <w:szCs w:val="22"/>
        </w:rPr>
      </w:pPr>
    </w:p>
    <w:p w14:paraId="3198B2BF" w14:textId="30F76E8F" w:rsidR="00CA64BA" w:rsidRDefault="00CA64BA"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BD47D9">
        <w:rPr>
          <w:rFonts w:ascii="Palatino Linotype" w:hAnsi="Palatino Linotype"/>
          <w:bCs/>
          <w:sz w:val="22"/>
          <w:szCs w:val="22"/>
        </w:rPr>
        <w:t xml:space="preserve">The age and years of creditable service required in order for a member to retire with full benefits are established by statute, and vary depending on the member's hire date, employer, and job classification.  Our rank and file members hired prior to July 1, 2006, may either retire with full benefits at any age upon completing 30 years of creditable service </w:t>
      </w:r>
      <w:r w:rsidR="0037190F">
        <w:rPr>
          <w:rFonts w:ascii="Palatino Linotype" w:hAnsi="Palatino Linotype"/>
          <w:bCs/>
          <w:sz w:val="22"/>
          <w:szCs w:val="22"/>
        </w:rPr>
        <w:t>or</w:t>
      </w:r>
      <w:r w:rsidRPr="00BD47D9">
        <w:rPr>
          <w:rFonts w:ascii="Palatino Linotype" w:hAnsi="Palatino Linotype"/>
          <w:bCs/>
          <w:sz w:val="22"/>
          <w:szCs w:val="22"/>
        </w:rPr>
        <w:t xml:space="preserve"> at age 60 upon completing ten years of creditable service depending on their plan.    Those members hired between July 1, 2006 and June 30, 2015, may retire at age 60 upon completing five years of creditable service and those hired on or after July 1, 2015 may retire at age 62 upon completing five years of creditable service.  The basic annual retirement benefit for members is equal to 2.5% to 3.5% of average compensation multiplied by the number of years of creditable service.  Additionally, members may choose to retire with 20 years of service at any age, with an actuarially reduced benefit.</w:t>
      </w:r>
    </w:p>
    <w:p w14:paraId="1D7949FF" w14:textId="77777777" w:rsidR="0037190F" w:rsidRDefault="0037190F"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Average compensation is defined as the member's average annual earned compensation for the highest 36 consecutive months of employment for members employed prior to July 1, 2006.  For members hired July 1, 2006 or later, average compensation is based on the member’s average annual earned compensation for the highest 60 consecutive months of employment.  The maximum annual retirement benefit cannot exceed the lesser of 100% of average compensation or a certain specified dollar amount of actuarially determined monetary limits, which vary depending upon the member's age at retirement. Judges, court officers, and certain elected officials receive an additional annual retirement benefit equal to 1.0% of average compensation multiplied by the number of years of creditable service in their respective capacity.  As an alternative to</w:t>
      </w:r>
      <w:r>
        <w:rPr>
          <w:rFonts w:ascii="Palatino Linotype" w:hAnsi="Palatino Linotype"/>
          <w:bCs/>
          <w:sz w:val="22"/>
          <w:szCs w:val="22"/>
        </w:rPr>
        <w:t xml:space="preserve"> </w:t>
      </w:r>
      <w:r w:rsidRPr="00440AA2">
        <w:rPr>
          <w:rFonts w:ascii="Palatino Linotype" w:hAnsi="Palatino Linotype"/>
          <w:bCs/>
          <w:sz w:val="22"/>
          <w:szCs w:val="22"/>
        </w:rPr>
        <w:t>the</w:t>
      </w:r>
      <w:r>
        <w:rPr>
          <w:rFonts w:ascii="Palatino Linotype" w:hAnsi="Palatino Linotype"/>
          <w:bCs/>
          <w:sz w:val="22"/>
          <w:szCs w:val="22"/>
        </w:rPr>
        <w:t xml:space="preserve"> </w:t>
      </w:r>
      <w:r w:rsidRPr="00440AA2">
        <w:rPr>
          <w:rFonts w:ascii="Palatino Linotype" w:hAnsi="Palatino Linotype"/>
          <w:bCs/>
          <w:sz w:val="22"/>
          <w:szCs w:val="22"/>
        </w:rPr>
        <w:t>basic retirement benefits, a member may elect to receive</w:t>
      </w:r>
      <w:r>
        <w:rPr>
          <w:rFonts w:ascii="Palatino Linotype" w:hAnsi="Palatino Linotype"/>
          <w:bCs/>
          <w:sz w:val="22"/>
          <w:szCs w:val="22"/>
        </w:rPr>
        <w:t xml:space="preserve"> </w:t>
      </w:r>
      <w:r w:rsidRPr="00440AA2">
        <w:rPr>
          <w:rFonts w:ascii="Palatino Linotype" w:hAnsi="Palatino Linotype"/>
          <w:bCs/>
          <w:sz w:val="22"/>
          <w:szCs w:val="22"/>
        </w:rPr>
        <w:t xml:space="preserve">their </w:t>
      </w:r>
      <w:r>
        <w:rPr>
          <w:rFonts w:ascii="Palatino Linotype" w:hAnsi="Palatino Linotype"/>
          <w:bCs/>
          <w:sz w:val="22"/>
          <w:szCs w:val="22"/>
        </w:rPr>
        <w:t>r</w:t>
      </w:r>
      <w:r w:rsidRPr="00440AA2">
        <w:rPr>
          <w:rFonts w:ascii="Palatino Linotype" w:hAnsi="Palatino Linotype"/>
          <w:bCs/>
          <w:sz w:val="22"/>
          <w:szCs w:val="22"/>
        </w:rPr>
        <w:t>etirement</w:t>
      </w:r>
      <w:r>
        <w:rPr>
          <w:rFonts w:ascii="Palatino Linotype" w:hAnsi="Palatino Linotype"/>
          <w:sz w:val="22"/>
          <w:szCs w:val="22"/>
        </w:rPr>
        <w:t xml:space="preserve"> t</w:t>
      </w:r>
      <w:r w:rsidRPr="00440AA2">
        <w:rPr>
          <w:rFonts w:ascii="Palatino Linotype" w:hAnsi="Palatino Linotype"/>
          <w:bCs/>
          <w:sz w:val="22"/>
          <w:szCs w:val="22"/>
        </w:rPr>
        <w:t>hroughout their life, with certain benefits being paid to their designated beneficiary after their death.</w:t>
      </w:r>
    </w:p>
    <w:p w14:paraId="25F7F3F6" w14:textId="77777777" w:rsidR="000E0D3E" w:rsidRPr="00052F23" w:rsidRDefault="009C36EC" w:rsidP="000E0D3E">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sz w:val="22"/>
          <w:szCs w:val="22"/>
        </w:rPr>
      </w:pPr>
      <w:r>
        <w:rPr>
          <w:rFonts w:ascii="Palatino Linotype" w:eastAsia="Cambria" w:hAnsi="Palatino Linotype" w:cs="Times New Roman"/>
          <w:sz w:val="22"/>
          <w:szCs w:val="22"/>
        </w:rPr>
        <w:t>Act 992 of the 2010 Louisiana Regular Legislative Session, changed t</w:t>
      </w:r>
      <w:r w:rsidR="000971AE">
        <w:rPr>
          <w:rFonts w:ascii="Palatino Linotype" w:eastAsia="Cambria" w:hAnsi="Palatino Linotype" w:cs="Times New Roman"/>
          <w:sz w:val="22"/>
          <w:szCs w:val="22"/>
        </w:rPr>
        <w:t xml:space="preserve">he benefit structure </w:t>
      </w:r>
      <w:r>
        <w:rPr>
          <w:rFonts w:ascii="Palatino Linotype" w:eastAsia="Cambria" w:hAnsi="Palatino Linotype" w:cs="Times New Roman"/>
          <w:sz w:val="22"/>
          <w:szCs w:val="22"/>
        </w:rPr>
        <w:t>f</w:t>
      </w:r>
      <w:r w:rsidR="000971AE">
        <w:rPr>
          <w:rFonts w:ascii="Palatino Linotype" w:eastAsia="Cambria" w:hAnsi="Palatino Linotype" w:cs="Times New Roman"/>
          <w:sz w:val="22"/>
          <w:szCs w:val="22"/>
        </w:rPr>
        <w:t xml:space="preserve">or LASERS </w:t>
      </w:r>
      <w:r>
        <w:rPr>
          <w:rFonts w:ascii="Palatino Linotype" w:eastAsia="Cambria" w:hAnsi="Palatino Linotype" w:cs="Times New Roman"/>
          <w:sz w:val="22"/>
          <w:szCs w:val="22"/>
        </w:rPr>
        <w:t xml:space="preserve">members hired on or after January 1, 2011.  This resulted in three new plans:  regular, hazardous duty, and judges. The new regular plan includes regular members and those members who were formerly eligible to participate in specialty plans, excluding hazardous duty and judges.  </w:t>
      </w:r>
      <w:r w:rsidR="000E0D3E" w:rsidRPr="00052F23">
        <w:rPr>
          <w:rFonts w:ascii="Palatino Linotype" w:eastAsia="Cambria" w:hAnsi="Palatino Linotype" w:cs="Times New Roman"/>
          <w:sz w:val="22"/>
          <w:szCs w:val="22"/>
        </w:rPr>
        <w:t xml:space="preserve">Regular members and judges are eligible to retire at age 60 after five years of creditable service and, may also retire at any age, with a reduced benefit, after 20 years of creditable service.  Hazardous duty members are eligible to retire with twelve years of creditable service at age 55, 25 years of creditable service at any age or with a reduced benefit after 20 years of creditable service.  Average compensation will be based on the member’s average annual earned compensation for the highest 60 consecutive months of employment for all three new plans.  Members in the regular plan will receive a 2.5% accrual rate, hazardous duty plan a 3.33% accrual rate, and judges a 3.5% accrual rate.  The extra 1.0% accrual rate for each year of service for court officers, the governor, lieutenant governor, legislators, House clerk, sergeants at arms, or Senate secretary, employed after January 1, 2011, was eliminated by Act 992.  Specialty plan and regular members, hired prior to January 1, 2011, who are hazardous duty employees have the option to transition to the new hazardous duty plan. </w:t>
      </w:r>
    </w:p>
    <w:p w14:paraId="00122A97" w14:textId="77777777" w:rsidR="0037190F" w:rsidRPr="00FA4E89"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bookmarkStart w:id="0" w:name="_GoBack"/>
      <w:r w:rsidRPr="00FA4E89">
        <w:rPr>
          <w:rFonts w:ascii="Palatino Linotype" w:hAnsi="Palatino Linotype"/>
          <w:bCs/>
          <w:sz w:val="22"/>
          <w:szCs w:val="22"/>
        </w:rPr>
        <w:t xml:space="preserve">Act 226 of the 2014 Louisiana Regular Legislative Session established new retirement eligibility for members of LASERS hired on or after July 1, 2015, excluding hazardous duty plan members.  </w:t>
      </w:r>
      <w:r w:rsidRPr="00FA4E89">
        <w:rPr>
          <w:rFonts w:ascii="Palatino Linotype" w:hAnsi="Palatino Linotype"/>
          <w:bCs/>
          <w:sz w:val="22"/>
          <w:szCs w:val="22"/>
        </w:rPr>
        <w:lastRenderedPageBreak/>
        <w:t>Regular members and judges under the new plan are eligible to retire at age 62 after five years of creditable service and, may also retire at any age, with a reduced benefit, after 20 years of creditable service.  Average compensation will be based on the member’s average annual earned compensation for the highest 60 consecutive months of employment.  Members in the regular plan will receive a 2.5% accrual rate, and judges a 3.5% accrual rate, with the extra 1.0% accrual rate based on all years of service as a judge.</w:t>
      </w:r>
    </w:p>
    <w:bookmarkEnd w:id="0"/>
    <w:p w14:paraId="53F8A11F" w14:textId="77777777" w:rsidR="0037190F" w:rsidRPr="00FA4E89"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FA4E89">
        <w:rPr>
          <w:rFonts w:ascii="Palatino Linotype" w:hAnsi="Palatino Linotype"/>
          <w:bCs/>
          <w:sz w:val="22"/>
          <w:szCs w:val="22"/>
        </w:rPr>
        <w:t>Members of the Harbor Police Retirement System who were members prior to July 1, 2014, may retire after 25 years of creditable service at any age, 12 years of creditable service at age 55, 20 years of creditable service at age 45, and 10 years of creditable service at age 60.  Average compensation for the plan is the member's average annual earned compensation for the highest 36 consecutive months of employment, with a 3.33% accrual rate.</w:t>
      </w:r>
    </w:p>
    <w:p w14:paraId="0449F9EF" w14:textId="77777777" w:rsidR="0037190F" w:rsidRPr="00440AA2" w:rsidRDefault="0037190F" w:rsidP="00336B2D">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sz w:val="22"/>
          <w:szCs w:val="22"/>
        </w:rPr>
      </w:pPr>
      <w:r w:rsidRPr="00440AA2">
        <w:rPr>
          <w:rFonts w:ascii="Palatino Linotype" w:hAnsi="Palatino Linotype"/>
          <w:bCs/>
          <w:sz w:val="22"/>
          <w:szCs w:val="22"/>
        </w:rPr>
        <w:t>A member leaving employment before attaining minimum retirement age, but after completing certain minimum service requirements, becomes eligible for a benefit provided the member lives to the minimum service retirement age, and does not withdraw their accumulated contributions.  The minimum service requirement for benefits varies depending upon the member's employer and service classification.</w:t>
      </w:r>
      <w:r w:rsidRPr="00440AA2">
        <w:rPr>
          <w:rFonts w:ascii="Palatino Linotype" w:hAnsi="Palatino Linotype"/>
          <w:spacing w:val="-3"/>
          <w:sz w:val="22"/>
          <w:szCs w:val="22"/>
        </w:rPr>
        <w:fldChar w:fldCharType="begin"/>
      </w:r>
      <w:r w:rsidRPr="00440AA2">
        <w:rPr>
          <w:rFonts w:ascii="Palatino Linotype" w:hAnsi="Palatino Linotype"/>
          <w:spacing w:val="-3"/>
          <w:sz w:val="22"/>
          <w:szCs w:val="22"/>
        </w:rPr>
        <w:instrText xml:space="preserve"> FILLIN  "Insert Retirement Benefits"  \* MERGEFORMAT </w:instrText>
      </w:r>
      <w:r w:rsidRPr="00440AA2">
        <w:rPr>
          <w:rFonts w:ascii="Palatino Linotype" w:hAnsi="Palatino Linotype"/>
          <w:spacing w:val="-3"/>
          <w:sz w:val="22"/>
          <w:szCs w:val="22"/>
        </w:rPr>
        <w:fldChar w:fldCharType="end"/>
      </w:r>
    </w:p>
    <w:p w14:paraId="78D37427" w14:textId="77777777" w:rsidR="000E0D3E"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D6089F">
        <w:rPr>
          <w:rFonts w:ascii="Palatino Linotype" w:eastAsia="Cambria" w:hAnsi="Palatino Linotype" w:cs="Times New Roman"/>
          <w:b/>
          <w:bCs/>
          <w:sz w:val="22"/>
          <w:szCs w:val="22"/>
        </w:rPr>
        <w:t>Deferred Retirement Benefits</w:t>
      </w:r>
    </w:p>
    <w:p w14:paraId="631BF541" w14:textId="77777777" w:rsidR="000351B6" w:rsidRPr="00D6089F"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46AC0F06" w14:textId="77777777" w:rsidR="0037190F" w:rsidRDefault="0037190F" w:rsidP="00610E48">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440AA2">
        <w:rPr>
          <w:rFonts w:ascii="Palatino Linotype" w:hAnsi="Palatino Linotype"/>
          <w:bCs/>
          <w:sz w:val="22"/>
          <w:szCs w:val="22"/>
        </w:rPr>
        <w:t>The State Legislature authorized LASERS to establish a Deferred Retirement Option Plan (DROP).  When a member enters DROP, their status changes from active member to retiree even though they continue to work and draw their salary for a period of up to three years. The election is irrevocable once participation begins.  During DROP participation, accumulated retirement benefits that would have been paid to each retiree are separately tracked.  For members who entered DROP prior to January 1, 2004, interest at a rate of one-half percent less than the System's realized return on its portfolio (not to be less than zero) will be credited to the retiree after participation ends.  At that time, the member must choose among available alternatives for the distribution of benefits that have accumulated in the DROP account. Members who enter DROP on or after January 1, 2004, are required to participate in LASERS Self-Directed Plan (SDP) which is administered by a third-party provider.  The SDP allows DROP participants to choose from a menu of investment options for the allocation of their DROP balances.  Participants may diversify their investments by choosing from an approved list of mutual funds with different holdings, management styles, and risk factors.</w:t>
      </w:r>
    </w:p>
    <w:p w14:paraId="7E03B35F" w14:textId="77777777" w:rsidR="0037190F" w:rsidRDefault="0037190F" w:rsidP="00336B2D">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color w:val="FF0000"/>
          <w:sz w:val="22"/>
          <w:szCs w:val="22"/>
        </w:rPr>
      </w:pPr>
      <w:r w:rsidRPr="006D5925">
        <w:rPr>
          <w:rFonts w:ascii="Palatino Linotype" w:hAnsi="Palatino Linotype"/>
          <w:bCs/>
          <w:sz w:val="22"/>
          <w:szCs w:val="22"/>
        </w:rPr>
        <w:t>Members eligible to retire and who do not choose to participate in DROP may elect to receive at the time of retirement an initial benefit option (IBO) in an amount up to 36 months of benefits, with an actuarial reduction of their future benefits.  For members who selected the IBO option prior to January 1, 2004, such amount may be withdrawn or remain in the IBO account earning interest at a rate of one-half percent less than the System’s realized return on its portfolio (not to be less than zero).  Those members who select the IBO on or after January 1, 2004, are required to enter the SDP as described above.</w:t>
      </w:r>
      <w:r w:rsidRPr="006D5925">
        <w:rPr>
          <w:rFonts w:ascii="Palatino Linotype" w:hAnsi="Palatino Linotype"/>
          <w:bCs/>
          <w:color w:val="FF0000"/>
          <w:sz w:val="22"/>
          <w:szCs w:val="22"/>
        </w:rPr>
        <w:t xml:space="preserve"> </w:t>
      </w:r>
    </w:p>
    <w:p w14:paraId="20BA02BA" w14:textId="77777777" w:rsidR="0037190F" w:rsidRPr="009C00E3" w:rsidRDefault="0037190F" w:rsidP="0045791F">
      <w:pPr>
        <w:widowControl w:val="0"/>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9C00E3">
        <w:rPr>
          <w:rFonts w:ascii="Palatino Linotype" w:hAnsi="Palatino Linotype"/>
          <w:bCs/>
          <w:sz w:val="22"/>
          <w:szCs w:val="22"/>
        </w:rPr>
        <w:t xml:space="preserve">For members who are in the Harbor Police Plan, the annual DROP Interest Rate is the three-year average (calculated as the compound average of 36 months) investment return of the plan assets </w:t>
      </w:r>
      <w:r w:rsidRPr="009C00E3">
        <w:rPr>
          <w:rFonts w:ascii="Palatino Linotype" w:hAnsi="Palatino Linotype"/>
          <w:bCs/>
          <w:sz w:val="22"/>
          <w:szCs w:val="22"/>
        </w:rPr>
        <w:lastRenderedPageBreak/>
        <w:t>for the period ending the June 30th immediately preceding that given date.  The average rate so determined is to be reduced by a “contingency” adjustment of 0.5%, but not to below zero.   DROP interest is forfeited if member does not cease employment after DROP participation.</w:t>
      </w:r>
    </w:p>
    <w:p w14:paraId="723823A7" w14:textId="77777777" w:rsidR="000E0D3E" w:rsidRPr="00702823"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Disability Benefits</w:t>
      </w:r>
    </w:p>
    <w:p w14:paraId="6EBCA67D"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6D3DC0F4" w14:textId="77777777" w:rsidR="0037190F" w:rsidRDefault="0037190F" w:rsidP="00067CA5">
      <w:pPr>
        <w:pStyle w:val="ListBullet"/>
        <w:keepNext/>
        <w:keepLines/>
        <w:numPr>
          <w:ilvl w:val="0"/>
          <w:numId w:val="0"/>
        </w:numPr>
        <w:tabs>
          <w:tab w:val="left" w:pos="450"/>
          <w:tab w:val="left" w:pos="540"/>
          <w:tab w:val="left" w:pos="1170"/>
        </w:tabs>
        <w:spacing w:after="120"/>
        <w:jc w:val="both"/>
        <w:rPr>
          <w:rFonts w:ascii="Palatino Linotype" w:hAnsi="Palatino Linotype"/>
          <w:bCs/>
          <w:sz w:val="22"/>
          <w:szCs w:val="22"/>
        </w:rPr>
      </w:pPr>
      <w:r>
        <w:rPr>
          <w:rFonts w:ascii="Palatino Linotype" w:hAnsi="Palatino Linotype"/>
          <w:bCs/>
          <w:sz w:val="22"/>
          <w:szCs w:val="22"/>
        </w:rPr>
        <w:t>Generally, active</w:t>
      </w:r>
      <w:r w:rsidRPr="006D5925">
        <w:rPr>
          <w:rFonts w:ascii="Palatino Linotype" w:hAnsi="Palatino Linotype"/>
          <w:bCs/>
          <w:sz w:val="22"/>
          <w:szCs w:val="22"/>
        </w:rPr>
        <w:t xml:space="preserve"> members with ten or more years of credited service who become disabled may receive a maximum disability retirement benefit equivalent to the regular retirement formula without reduction by reason of age.</w:t>
      </w:r>
    </w:p>
    <w:p w14:paraId="752046F3"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Upon reaching age 60, the disability retiree may receive a regular retirement benefit by making application to the Board of Trustees.</w:t>
      </w:r>
    </w:p>
    <w:p w14:paraId="724ED149" w14:textId="77777777" w:rsidR="0037190F" w:rsidRPr="00067CA5" w:rsidRDefault="0037190F" w:rsidP="00067CA5">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For injuries sustained in the line of duty, hazardous duty personnel in the Hazardous Duty Services Plan will receive a disability benefit equal to 75% of final average compensation. </w:t>
      </w:r>
    </w:p>
    <w:p w14:paraId="54BFC4D8" w14:textId="77777777" w:rsidR="0037190F" w:rsidRPr="00067CA5" w:rsidRDefault="0037190F" w:rsidP="00067CA5">
      <w:pPr>
        <w:tabs>
          <w:tab w:val="left" w:pos="-720"/>
          <w:tab w:val="left" w:pos="0"/>
          <w:tab w:val="left" w:pos="336"/>
          <w:tab w:val="left" w:pos="540"/>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Members of the Harbor Police Retirement System who become disabled may receive a non-line of duty disability benefit after five years or more of credited service.  Members age 55 or older may receive a disability benefit equivalent to the regular retirement benefit.  Under age 55, the disability benefit is equal to 40% of final average compensation.  Line of duty disability benefits are equal to 60% of final average compensation, regardless of years of credited service.  If the disability benefit retiree </w:t>
      </w:r>
      <w:proofErr w:type="gramStart"/>
      <w:r w:rsidRPr="00067CA5">
        <w:rPr>
          <w:rFonts w:ascii="Palatino Linotype" w:hAnsi="Palatino Linotype"/>
          <w:bCs/>
          <w:sz w:val="22"/>
          <w:szCs w:val="22"/>
        </w:rPr>
        <w:t>is permanently confined</w:t>
      </w:r>
      <w:proofErr w:type="gramEnd"/>
      <w:r w:rsidRPr="00067CA5">
        <w:rPr>
          <w:rFonts w:ascii="Palatino Linotype" w:hAnsi="Palatino Linotype"/>
          <w:bCs/>
          <w:sz w:val="22"/>
          <w:szCs w:val="22"/>
        </w:rPr>
        <w:t xml:space="preserve"> to a wheelchair, or, is an amputee incapable of serving as a law enforcement officer, or the benefit is permanently legally binding, there is no reduction to the benefit if the retiree becomes gainfully employed.</w:t>
      </w:r>
      <w:r w:rsidRPr="00067CA5">
        <w:rPr>
          <w:rFonts w:ascii="Palatino Linotype" w:hAnsi="Palatino Linotype"/>
          <w:spacing w:val="-3"/>
          <w:sz w:val="22"/>
          <w:szCs w:val="22"/>
        </w:rPr>
        <w:fldChar w:fldCharType="begin"/>
      </w:r>
      <w:r w:rsidRPr="00067CA5">
        <w:rPr>
          <w:rFonts w:ascii="Palatino Linotype" w:hAnsi="Palatino Linotype"/>
          <w:spacing w:val="-3"/>
          <w:sz w:val="22"/>
          <w:szCs w:val="22"/>
        </w:rPr>
        <w:instrText xml:space="preserve"> FILLIN  "Insert Retirement Benefits"  \* MERGEFORMAT </w:instrText>
      </w:r>
      <w:r w:rsidRPr="00067CA5">
        <w:rPr>
          <w:rFonts w:ascii="Palatino Linotype" w:hAnsi="Palatino Linotype"/>
          <w:spacing w:val="-3"/>
          <w:sz w:val="22"/>
          <w:szCs w:val="22"/>
        </w:rPr>
        <w:fldChar w:fldCharType="end"/>
      </w:r>
    </w:p>
    <w:p w14:paraId="77651D37" w14:textId="77777777" w:rsidR="000E0D3E" w:rsidRPr="00702823" w:rsidRDefault="000E0D3E" w:rsidP="000E0D3E">
      <w:pPr>
        <w:numPr>
          <w:ilvl w:val="0"/>
          <w:numId w:val="4"/>
        </w:numPr>
        <w:tabs>
          <w:tab w:val="left" w:pos="-720"/>
          <w:tab w:val="left" w:pos="0"/>
          <w:tab w:val="left" w:pos="336"/>
          <w:tab w:val="left" w:pos="537"/>
          <w:tab w:val="left" w:pos="856"/>
          <w:tab w:val="left" w:pos="1142"/>
          <w:tab w:val="left" w:pos="6922"/>
          <w:tab w:val="right" w:pos="7809"/>
          <w:tab w:val="left" w:pos="8824"/>
          <w:tab w:val="right" w:pos="9712"/>
        </w:tabs>
        <w:contextualSpacing/>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Survivor’s Benefits</w:t>
      </w:r>
    </w:p>
    <w:p w14:paraId="7D1EAD1B" w14:textId="77777777" w:rsidR="000351B6" w:rsidRPr="00702823" w:rsidRDefault="000351B6" w:rsidP="0048407F">
      <w:pPr>
        <w:tabs>
          <w:tab w:val="left" w:pos="-720"/>
          <w:tab w:val="left" w:pos="0"/>
          <w:tab w:val="left" w:pos="336"/>
          <w:tab w:val="left" w:pos="537"/>
          <w:tab w:val="left" w:pos="856"/>
          <w:tab w:val="left" w:pos="1142"/>
          <w:tab w:val="left" w:pos="6922"/>
          <w:tab w:val="right" w:pos="7809"/>
          <w:tab w:val="left" w:pos="8824"/>
          <w:tab w:val="right" w:pos="9712"/>
        </w:tabs>
        <w:spacing w:line="200" w:lineRule="exact"/>
        <w:contextualSpacing/>
        <w:jc w:val="both"/>
        <w:rPr>
          <w:rFonts w:ascii="Palatino Linotype" w:eastAsia="Cambria" w:hAnsi="Palatino Linotype" w:cs="Times New Roman"/>
          <w:b/>
          <w:bCs/>
          <w:sz w:val="22"/>
          <w:szCs w:val="22"/>
        </w:rPr>
      </w:pPr>
    </w:p>
    <w:p w14:paraId="17C60262"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Certain eligible surviving dependents receive benefits based on the deceased member's compensation and their relationship to the deceased.  The deceased regular member hired before January 1, 2011 who was in state service at the time of death must have a minimum of five years of service credit, at least two of which were earned immediately prior to death, or who had a minimum of twenty years of service credit regardless of when earned in order for a benefit to be paid to a minor or handicapped child.  Benefits are payable to an unmarried child until age 18, or age 23 if the child remains a full-time student.  The aforementioned minimum service credit requirement is ten years for a surviving spouse with no minor children, and benefits are to be paid for life to the spouse or qualified handicapped child.</w:t>
      </w:r>
    </w:p>
    <w:p w14:paraId="22562446"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The deceased regular member hired on or after January 1, 2011, must have a minimum of five years of service credit regardless of when earned in order for a benefit to be paid to a minor child.  The aforementioned minimum service credit requirements for a surviving spouse are 10 years, 2 years being earned immediately prior to death, and active state service at the time of death, or a minimum of 20 years of service credit regardless of when earned.  A deceased member’s spouse must have been married for at least one year before death.</w:t>
      </w:r>
    </w:p>
    <w:p w14:paraId="5DBA4D85" w14:textId="77777777" w:rsidR="0037190F" w:rsidRPr="00067CA5" w:rsidRDefault="0037190F" w:rsidP="00067CA5">
      <w:p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hAnsi="Palatino Linotype"/>
          <w:bCs/>
          <w:sz w:val="22"/>
          <w:szCs w:val="22"/>
        </w:rPr>
      </w:pPr>
      <w:r w:rsidRPr="00067CA5">
        <w:rPr>
          <w:rFonts w:ascii="Palatino Linotype" w:hAnsi="Palatino Linotype"/>
          <w:bCs/>
          <w:sz w:val="22"/>
          <w:szCs w:val="22"/>
        </w:rPr>
        <w:t xml:space="preserve">Non-line of duty survivor benefits of the Harbor Police Retirement System may be received after a minimum of five years of credited service.  Survivor benefits paid to a surviving spouse without children are equal to 40% of final average compensation, and cease upon remarriage.  Surviving spouse with children under 18 benefits are equal to 60% of final average compensation, and cease </w:t>
      </w:r>
      <w:r w:rsidRPr="00067CA5">
        <w:rPr>
          <w:rFonts w:ascii="Palatino Linotype" w:hAnsi="Palatino Linotype"/>
          <w:bCs/>
          <w:sz w:val="22"/>
          <w:szCs w:val="22"/>
        </w:rPr>
        <w:lastRenderedPageBreak/>
        <w:t>upon remarriage, and children turning 18.  No minimum service credit is required for line of duty survivor benefits which are equal to 60% of final average compensation to surviving spouse, regardless of children.  Line of duty survivor benefits cease upon remarriage, and then benefit is paid to children under 18.</w:t>
      </w:r>
    </w:p>
    <w:p w14:paraId="7ADEEF4D" w14:textId="532828D3" w:rsidR="00254807" w:rsidRPr="00702823" w:rsidRDefault="00254807" w:rsidP="00067CA5">
      <w:pPr>
        <w:pStyle w:val="ListParagraph"/>
        <w:numPr>
          <w:ilvl w:val="0"/>
          <w:numId w:val="4"/>
        </w:numPr>
        <w:tabs>
          <w:tab w:val="left" w:pos="-720"/>
          <w:tab w:val="left" w:pos="0"/>
          <w:tab w:val="left" w:pos="336"/>
          <w:tab w:val="left" w:pos="537"/>
          <w:tab w:val="left" w:pos="856"/>
          <w:tab w:val="left" w:pos="1142"/>
          <w:tab w:val="left" w:pos="6922"/>
          <w:tab w:val="right" w:pos="7809"/>
          <w:tab w:val="left" w:pos="8824"/>
          <w:tab w:val="right" w:pos="9712"/>
        </w:tabs>
        <w:spacing w:after="120"/>
        <w:jc w:val="both"/>
        <w:rPr>
          <w:rFonts w:ascii="Palatino Linotype" w:eastAsia="Cambria" w:hAnsi="Palatino Linotype" w:cs="Times New Roman"/>
          <w:b/>
          <w:bCs/>
          <w:sz w:val="22"/>
          <w:szCs w:val="22"/>
        </w:rPr>
      </w:pPr>
      <w:r w:rsidRPr="00702823">
        <w:rPr>
          <w:rFonts w:ascii="Palatino Linotype" w:eastAsia="Cambria" w:hAnsi="Palatino Linotype" w:cs="Times New Roman"/>
          <w:b/>
          <w:bCs/>
          <w:sz w:val="22"/>
          <w:szCs w:val="22"/>
        </w:rPr>
        <w:t>Permanent Benefit Increases/Cost-of-Living Adjustments</w:t>
      </w:r>
    </w:p>
    <w:p w14:paraId="7F235D4A" w14:textId="4D00B279" w:rsidR="00254807" w:rsidRPr="00702823" w:rsidRDefault="00254807" w:rsidP="00FD3555">
      <w:pPr>
        <w:tabs>
          <w:tab w:val="left" w:pos="-720"/>
          <w:tab w:val="left" w:pos="0"/>
          <w:tab w:val="left" w:pos="336"/>
          <w:tab w:val="left" w:pos="856"/>
          <w:tab w:val="left" w:pos="1142"/>
          <w:tab w:val="left" w:pos="6922"/>
          <w:tab w:val="right" w:pos="7809"/>
          <w:tab w:val="left" w:pos="8824"/>
          <w:tab w:val="right" w:pos="9712"/>
        </w:tabs>
        <w:spacing w:after="120"/>
        <w:jc w:val="both"/>
        <w:rPr>
          <w:rFonts w:ascii="Palatino Linotype" w:hAnsi="Palatino Linotype"/>
          <w:spacing w:val="-3"/>
          <w:sz w:val="22"/>
          <w:szCs w:val="22"/>
          <w:u w:val="single"/>
        </w:rPr>
      </w:pPr>
      <w:r w:rsidRPr="00702823">
        <w:rPr>
          <w:rFonts w:ascii="Palatino Linotype" w:hAnsi="Palatino Linotype"/>
          <w:sz w:val="22"/>
          <w:szCs w:val="22"/>
        </w:rPr>
        <w:t>As fully described in Title 11 of the Louisiana Revised Statutes, the System allows for the payment of permanent benefit increases, also known as cost-of-living adjustments (COLAs</w:t>
      </w:r>
      <w:proofErr w:type="gramStart"/>
      <w:r w:rsidRPr="00702823">
        <w:rPr>
          <w:rFonts w:ascii="Palatino Linotype" w:hAnsi="Palatino Linotype"/>
          <w:sz w:val="22"/>
          <w:szCs w:val="22"/>
        </w:rPr>
        <w:t>),</w:t>
      </w:r>
      <w:r w:rsidR="00E04265" w:rsidRPr="00702823">
        <w:rPr>
          <w:rFonts w:ascii="Palatino Linotype" w:hAnsi="Palatino Linotype"/>
          <w:sz w:val="22"/>
          <w:szCs w:val="22"/>
        </w:rPr>
        <w:t xml:space="preserve"> </w:t>
      </w:r>
      <w:r w:rsidRPr="00702823">
        <w:rPr>
          <w:rFonts w:ascii="Palatino Linotype" w:hAnsi="Palatino Linotype"/>
          <w:sz w:val="22"/>
          <w:szCs w:val="22"/>
        </w:rPr>
        <w:t>that</w:t>
      </w:r>
      <w:proofErr w:type="gramEnd"/>
      <w:r w:rsidRPr="00702823">
        <w:rPr>
          <w:rFonts w:ascii="Palatino Linotype" w:hAnsi="Palatino Linotype"/>
          <w:sz w:val="22"/>
          <w:szCs w:val="22"/>
        </w:rPr>
        <w:t xml:space="preserve"> are funded through investment earnings when recommended by the Board of Trustees and approved by the State Legislature.</w:t>
      </w:r>
    </w:p>
    <w:p w14:paraId="6E29DD48" w14:textId="70EDB73B" w:rsidR="0037190F" w:rsidRDefault="00944258" w:rsidP="0045791F">
      <w:pPr>
        <w:widowControl w:val="0"/>
        <w:spacing w:after="120"/>
        <w:jc w:val="both"/>
        <w:rPr>
          <w:rFonts w:ascii="Palatino Linotype" w:hAnsi="Palatino Linotype"/>
          <w:b/>
          <w:i/>
          <w:sz w:val="22"/>
          <w:szCs w:val="22"/>
        </w:rPr>
      </w:pPr>
      <w:r w:rsidRPr="001A0B7E">
        <w:rPr>
          <w:rFonts w:ascii="Palatino Linotype" w:hAnsi="Palatino Linotype"/>
          <w:b/>
          <w:i/>
          <w:sz w:val="22"/>
          <w:szCs w:val="22"/>
        </w:rPr>
        <w:t>Contributions</w:t>
      </w:r>
    </w:p>
    <w:p w14:paraId="37C71034" w14:textId="2C034DD1" w:rsidR="00702823" w:rsidRPr="001A0B7E" w:rsidRDefault="0037190F" w:rsidP="0045791F">
      <w:pPr>
        <w:widowControl w:val="0"/>
        <w:jc w:val="both"/>
        <w:rPr>
          <w:rFonts w:ascii="Palatino Linotype" w:hAnsi="Palatino Linotype"/>
          <w:b/>
          <w:i/>
          <w:sz w:val="22"/>
          <w:szCs w:val="22"/>
        </w:rPr>
      </w:pPr>
      <w:r w:rsidRPr="00D6089F">
        <w:rPr>
          <w:rFonts w:ascii="Palatino Linotype" w:eastAsia="Cambria" w:hAnsi="Palatino Linotype" w:cs="Times New Roman"/>
          <w:sz w:val="22"/>
        </w:rPr>
        <w:t xml:space="preserve">Contribution requirements of active employees </w:t>
      </w:r>
      <w:proofErr w:type="gramStart"/>
      <w:r w:rsidRPr="00D6089F">
        <w:rPr>
          <w:rFonts w:ascii="Palatino Linotype" w:eastAsia="Cambria" w:hAnsi="Palatino Linotype" w:cs="Times New Roman"/>
          <w:sz w:val="22"/>
        </w:rPr>
        <w:t>are governed</w:t>
      </w:r>
      <w:proofErr w:type="gramEnd"/>
      <w:r w:rsidRPr="00D6089F">
        <w:rPr>
          <w:rFonts w:ascii="Palatino Linotype" w:eastAsia="Cambria" w:hAnsi="Palatino Linotype" w:cs="Times New Roman"/>
          <w:sz w:val="22"/>
        </w:rPr>
        <w:t xml:space="preserve"> by Section 401 of Title 11 of the Louisiana Revised Statutes (La. R.S. 11:401) and may be amended by the Louisiana Legislature.  Employee and employer contributions are deducted from a member’s salary and remitted to LASERS by participating employers.  The rates in effect during the year ended June 30, 201</w:t>
      </w:r>
      <w:r>
        <w:rPr>
          <w:rFonts w:ascii="Palatino Linotype" w:eastAsia="Cambria" w:hAnsi="Palatino Linotype" w:cs="Times New Roman"/>
          <w:sz w:val="22"/>
        </w:rPr>
        <w:t>7</w:t>
      </w:r>
      <w:r w:rsidRPr="00D6089F">
        <w:rPr>
          <w:rFonts w:ascii="Palatino Linotype" w:eastAsia="Cambria" w:hAnsi="Palatino Linotype" w:cs="Times New Roman"/>
          <w:sz w:val="22"/>
        </w:rPr>
        <w:t xml:space="preserve"> for the various plans follow:</w:t>
      </w:r>
    </w:p>
    <w:bookmarkStart w:id="1" w:name="_MON_1548579187"/>
    <w:bookmarkEnd w:id="1"/>
    <w:p w14:paraId="3C6DC133" w14:textId="4A15FEC9" w:rsidR="005051C9" w:rsidRDefault="0045791F" w:rsidP="00367652">
      <w:pPr>
        <w:widowControl w:val="0"/>
        <w:jc w:val="both"/>
        <w:rPr>
          <w:rFonts w:ascii="Palatino Linotype" w:eastAsia="Cambria" w:hAnsi="Palatino Linotype" w:cs="Times New Roman"/>
        </w:rPr>
      </w:pPr>
      <w:r>
        <w:rPr>
          <w:rFonts w:ascii="Palatino Linotype" w:eastAsia="Cambria" w:hAnsi="Palatino Linotype" w:cs="Times New Roman"/>
          <w:sz w:val="22"/>
        </w:rPr>
        <w:object w:dxaOrig="9866" w:dyaOrig="8330" w14:anchorId="6D003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64.4pt;height:417pt" o:ole="">
            <v:imagedata r:id="rId10" o:title=""/>
          </v:shape>
          <o:OLEObject Type="Embed" ProgID="Excel.Sheet.12" ShapeID="_x0000_i1062" DrawAspect="Content" ObjectID="_1548661228" r:id="rId11"/>
        </w:object>
      </w:r>
    </w:p>
    <w:p w14:paraId="3349028F" w14:textId="77777777" w:rsidR="00061F60" w:rsidRDefault="00061F60" w:rsidP="00944258">
      <w:pPr>
        <w:jc w:val="both"/>
        <w:rPr>
          <w:rFonts w:ascii="Palatino Linotype" w:eastAsia="Cambria" w:hAnsi="Palatino Linotype" w:cs="Times New Roman"/>
          <w:sz w:val="22"/>
          <w:szCs w:val="22"/>
        </w:rPr>
      </w:pPr>
    </w:p>
    <w:p w14:paraId="128F9E10" w14:textId="59D2ED4B" w:rsidR="00944258" w:rsidRDefault="00944258" w:rsidP="0045791F">
      <w:pPr>
        <w:widowControl w:val="0"/>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 xml:space="preserve">The agency’s contractually required composite contribution rate for the year ended June 30, </w:t>
      </w:r>
      <w:r w:rsidR="00702823" w:rsidRPr="00D6089F">
        <w:rPr>
          <w:rFonts w:ascii="Palatino Linotype" w:eastAsia="Cambria" w:hAnsi="Palatino Linotype" w:cs="Times New Roman"/>
          <w:sz w:val="22"/>
          <w:szCs w:val="22"/>
        </w:rPr>
        <w:t>20</w:t>
      </w:r>
      <w:r w:rsidR="00702823">
        <w:rPr>
          <w:rFonts w:ascii="Palatino Linotype" w:eastAsia="Cambria" w:hAnsi="Palatino Linotype" w:cs="Times New Roman"/>
          <w:sz w:val="22"/>
          <w:szCs w:val="22"/>
        </w:rPr>
        <w:t>1</w:t>
      </w:r>
      <w:r w:rsidR="00061F60">
        <w:rPr>
          <w:rFonts w:ascii="Palatino Linotype" w:eastAsia="Cambria" w:hAnsi="Palatino Linotype" w:cs="Times New Roman"/>
          <w:sz w:val="22"/>
          <w:szCs w:val="22"/>
        </w:rPr>
        <w:t>7</w:t>
      </w:r>
      <w:r w:rsidR="00702823"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w:t>
      </w:r>
      <w:r w:rsidRPr="00E34465">
        <w:rPr>
          <w:rFonts w:ascii="Palatino Linotype" w:eastAsia="Cambria" w:hAnsi="Palatino Linotype" w:cs="Times New Roman"/>
          <w:sz w:val="22"/>
          <w:szCs w:val="22"/>
          <w:highlight w:val="yellow"/>
        </w:rPr>
        <w:t>[insert rate</w:t>
      </w:r>
      <w:r w:rsidRPr="00D6089F">
        <w:rPr>
          <w:rFonts w:ascii="Palatino Linotype" w:eastAsia="Cambria" w:hAnsi="Palatino Linotype" w:cs="Times New Roman"/>
          <w:sz w:val="22"/>
          <w:szCs w:val="22"/>
        </w:rPr>
        <w:t>]% of annual payroll, actuarially determined as an amount that, when combined with employee contributions, is expected to finance the costs of benefits earned by employees during the year, with an additional amount to finance any Unfunded Actuarial Accrued Liability.  Contributions to the pension plan from the Agency were $</w:t>
      </w:r>
      <w:r w:rsidRPr="00D6089F">
        <w:rPr>
          <w:rFonts w:ascii="Palatino Linotype" w:eastAsia="Cambria" w:hAnsi="Palatino Linotype" w:cs="Times New Roman"/>
          <w:sz w:val="22"/>
          <w:szCs w:val="22"/>
          <w:highlight w:val="yellow"/>
        </w:rPr>
        <w:t>[</w:t>
      </w:r>
      <w:r w:rsidRPr="00E34465">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highlight w:val="yellow"/>
        </w:rPr>
        <w:t>]</w:t>
      </w:r>
      <w:r w:rsidRPr="00D6089F">
        <w:rPr>
          <w:rFonts w:ascii="Palatino Linotype" w:eastAsia="Cambria" w:hAnsi="Palatino Linotype" w:cs="Times New Roman"/>
          <w:sz w:val="22"/>
          <w:szCs w:val="22"/>
        </w:rPr>
        <w:t xml:space="preserve"> for the year ended June 30, 201</w:t>
      </w:r>
      <w:r w:rsidR="00061F60">
        <w:rPr>
          <w:rFonts w:ascii="Palatino Linotype" w:eastAsia="Cambria" w:hAnsi="Palatino Linotype" w:cs="Times New Roman"/>
          <w:sz w:val="22"/>
          <w:szCs w:val="22"/>
        </w:rPr>
        <w:t>7</w:t>
      </w:r>
      <w:r w:rsidRPr="00D6089F">
        <w:rPr>
          <w:rFonts w:ascii="Palatino Linotype" w:eastAsia="Cambria" w:hAnsi="Palatino Linotype" w:cs="Times New Roman"/>
          <w:sz w:val="22"/>
          <w:szCs w:val="22"/>
        </w:rPr>
        <w:t>.</w:t>
      </w:r>
    </w:p>
    <w:p w14:paraId="0D603074" w14:textId="77777777" w:rsidR="00CA64BA" w:rsidRPr="00D6089F" w:rsidRDefault="00CA64BA" w:rsidP="0045791F">
      <w:pPr>
        <w:widowControl w:val="0"/>
        <w:jc w:val="both"/>
        <w:rPr>
          <w:rFonts w:ascii="Palatino Linotype" w:eastAsia="Cambria" w:hAnsi="Palatino Linotype" w:cs="Times New Roman"/>
          <w:sz w:val="22"/>
          <w:szCs w:val="22"/>
        </w:rPr>
      </w:pPr>
    </w:p>
    <w:p w14:paraId="0D8B7039" w14:textId="77777777" w:rsidR="00944258" w:rsidRPr="00D6089F" w:rsidRDefault="00944258" w:rsidP="0045791F">
      <w:pPr>
        <w:widowControl w:val="0"/>
        <w:rPr>
          <w:rFonts w:ascii="Palatino Linotype" w:eastAsia="Cambria" w:hAnsi="Palatino Linotype" w:cs="Times New Roman"/>
          <w:b/>
          <w:sz w:val="22"/>
          <w:szCs w:val="22"/>
        </w:rPr>
      </w:pPr>
      <w:r w:rsidRPr="00D6089F">
        <w:rPr>
          <w:rFonts w:ascii="Palatino Linotype" w:eastAsia="Cambria" w:hAnsi="Palatino Linotype" w:cs="Times New Roman"/>
          <w:b/>
          <w:sz w:val="22"/>
          <w:szCs w:val="22"/>
        </w:rPr>
        <w:t>Pension Liabilities, Pension Expense, and Deferred Outflows of Resources and Deferred Inflows of Resources Related to Pensions</w:t>
      </w:r>
    </w:p>
    <w:p w14:paraId="395CE066" w14:textId="77777777" w:rsidR="00944258" w:rsidRPr="00D6089F" w:rsidRDefault="00944258" w:rsidP="00944258">
      <w:pPr>
        <w:rPr>
          <w:rFonts w:ascii="Palatino Linotype" w:eastAsia="Cambria" w:hAnsi="Palatino Linotype" w:cs="Times New Roman"/>
          <w:sz w:val="22"/>
          <w:szCs w:val="22"/>
          <w:u w:val="single"/>
        </w:rPr>
      </w:pPr>
    </w:p>
    <w:p w14:paraId="3B196A8B" w14:textId="7CE4BC47"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At June 30, 201</w:t>
      </w:r>
      <w:r w:rsidR="00061F60">
        <w:rPr>
          <w:rFonts w:ascii="Palatino Linotype" w:eastAsia="Cambria" w:hAnsi="Palatino Linotype" w:cs="Times New Roman"/>
          <w:sz w:val="22"/>
          <w:szCs w:val="22"/>
        </w:rPr>
        <w:t>7</w:t>
      </w:r>
      <w:r w:rsidRPr="00D6089F">
        <w:rPr>
          <w:rFonts w:ascii="Palatino Linotype" w:eastAsia="Cambria" w:hAnsi="Palatino Linotype" w:cs="Times New Roman"/>
          <w:sz w:val="22"/>
          <w:szCs w:val="22"/>
        </w:rPr>
        <w:t>, the Employer reported a liability of $[</w:t>
      </w:r>
      <w:r w:rsidRPr="00E34465">
        <w:rPr>
          <w:rFonts w:ascii="Palatino Linotype" w:eastAsia="Cambria" w:hAnsi="Palatino Linotype" w:cs="Times New Roman"/>
          <w:sz w:val="22"/>
          <w:szCs w:val="22"/>
          <w:highlight w:val="cyan"/>
        </w:rPr>
        <w:t>Exhibit 2</w:t>
      </w:r>
      <w:r w:rsidR="005B7922" w:rsidRPr="00E34465">
        <w:rPr>
          <w:rFonts w:ascii="Palatino Linotype" w:eastAsia="Cambria" w:hAnsi="Palatino Linotype" w:cs="Times New Roman"/>
          <w:sz w:val="22"/>
          <w:szCs w:val="22"/>
          <w:highlight w:val="cyan"/>
        </w:rPr>
        <w:t xml:space="preserve"> </w:t>
      </w:r>
      <w:r w:rsidRPr="00E34465">
        <w:rPr>
          <w:rFonts w:ascii="Palatino Linotype" w:eastAsia="Cambria" w:hAnsi="Palatino Linotype" w:cs="Times New Roman"/>
          <w:sz w:val="22"/>
          <w:szCs w:val="22"/>
          <w:highlight w:val="cyan"/>
        </w:rPr>
        <w:t>Column A</w:t>
      </w:r>
      <w:r w:rsidRPr="00D6089F">
        <w:rPr>
          <w:rFonts w:ascii="Palatino Linotype" w:eastAsia="Cambria" w:hAnsi="Palatino Linotype" w:cs="Times New Roman"/>
          <w:sz w:val="22"/>
          <w:szCs w:val="22"/>
        </w:rPr>
        <w:t>]</w:t>
      </w:r>
      <w:r w:rsidRPr="00D6089F">
        <w:rPr>
          <w:rFonts w:ascii="Palatino Linotype" w:eastAsia="Cambria" w:hAnsi="Palatino Linotype" w:cs="Times New Roman"/>
          <w:color w:val="FF0000"/>
          <w:sz w:val="22"/>
          <w:szCs w:val="22"/>
        </w:rPr>
        <w:t xml:space="preserve"> </w:t>
      </w:r>
      <w:r w:rsidRPr="00D6089F">
        <w:rPr>
          <w:rFonts w:ascii="Palatino Linotype" w:eastAsia="Cambria" w:hAnsi="Palatino Linotype" w:cs="Times New Roman"/>
          <w:sz w:val="22"/>
          <w:szCs w:val="22"/>
        </w:rPr>
        <w:t xml:space="preserve">for its proportionate share of the Net Pension Liability.  The Net Pension Liability was measured as of June 30, </w:t>
      </w:r>
      <w:r w:rsidR="00536BF6" w:rsidRPr="00D6089F">
        <w:rPr>
          <w:rFonts w:ascii="Palatino Linotype" w:eastAsia="Cambria" w:hAnsi="Palatino Linotype" w:cs="Times New Roman"/>
          <w:sz w:val="22"/>
          <w:szCs w:val="22"/>
        </w:rPr>
        <w:t>201</w:t>
      </w:r>
      <w:r w:rsidR="00536BF6">
        <w:rPr>
          <w:rFonts w:ascii="Palatino Linotype" w:eastAsia="Cambria" w:hAnsi="Palatino Linotype" w:cs="Times New Roman"/>
          <w:sz w:val="22"/>
          <w:szCs w:val="22"/>
        </w:rPr>
        <w:t>6</w:t>
      </w:r>
      <w:r w:rsidR="00536BF6"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and the total pension liability used to calculate the Net Pension </w:t>
      </w:r>
      <w:r w:rsidR="0011674B">
        <w:rPr>
          <w:rFonts w:ascii="Palatino Linotype" w:eastAsia="Cambria" w:hAnsi="Palatino Linotype" w:cs="Times New Roman"/>
          <w:sz w:val="22"/>
          <w:szCs w:val="22"/>
        </w:rPr>
        <w:t>Liability</w:t>
      </w:r>
      <w:r w:rsidR="0011674B"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 xml:space="preserve">was determined by an actuarial valuation as of that date.  The Agency’s proportion of the Net Pension Liability was </w:t>
      </w:r>
      <w:r w:rsidRPr="00D6089F">
        <w:rPr>
          <w:rFonts w:ascii="Palatino Linotype" w:eastAsia="Cambria" w:hAnsi="Palatino Linotype" w:cs="Times New Roman"/>
          <w:sz w:val="22"/>
          <w:szCs w:val="22"/>
        </w:rPr>
        <w:lastRenderedPageBreak/>
        <w:t xml:space="preserve">based on a projection of the Agency’s long-term share of contributions to the pension plan relative to the projected contributions of all participating employers, actuarially determined.  At June 30, </w:t>
      </w:r>
      <w:r w:rsidR="00536BF6" w:rsidRPr="00D6089F">
        <w:rPr>
          <w:rFonts w:ascii="Palatino Linotype" w:eastAsia="Cambria" w:hAnsi="Palatino Linotype" w:cs="Times New Roman"/>
          <w:sz w:val="22"/>
          <w:szCs w:val="22"/>
        </w:rPr>
        <w:t>201</w:t>
      </w:r>
      <w:r w:rsidR="00061F60">
        <w:rPr>
          <w:rFonts w:ascii="Palatino Linotype" w:eastAsia="Cambria" w:hAnsi="Palatino Linotype" w:cs="Times New Roman"/>
          <w:sz w:val="22"/>
          <w:szCs w:val="22"/>
        </w:rPr>
        <w:t>6</w:t>
      </w:r>
      <w:r w:rsidRPr="00D6089F">
        <w:rPr>
          <w:rFonts w:ascii="Palatino Linotype" w:eastAsia="Cambria" w:hAnsi="Palatino Linotype" w:cs="Times New Roman"/>
          <w:sz w:val="22"/>
          <w:szCs w:val="22"/>
        </w:rPr>
        <w:t>, the Agency’s proportion was [</w:t>
      </w:r>
      <w:r w:rsidRPr="00E34465">
        <w:rPr>
          <w:rFonts w:ascii="Palatino Linotype" w:eastAsia="Cambria" w:hAnsi="Palatino Linotype" w:cs="Times New Roman"/>
          <w:sz w:val="22"/>
          <w:szCs w:val="22"/>
          <w:highlight w:val="cyan"/>
        </w:rPr>
        <w:t>Exhibit 2 Column</w:t>
      </w:r>
      <w:r w:rsidRPr="005A42B1">
        <w:rPr>
          <w:rFonts w:ascii="Palatino Linotype" w:eastAsia="Cambria" w:hAnsi="Palatino Linotype" w:cs="Times New Roman"/>
          <w:color w:val="FF0000"/>
          <w:sz w:val="22"/>
          <w:szCs w:val="22"/>
          <w:highlight w:val="cyan"/>
        </w:rPr>
        <w:t xml:space="preserve"> </w:t>
      </w:r>
      <w:r w:rsidRPr="00E34465">
        <w:rPr>
          <w:rFonts w:ascii="Palatino Linotype" w:eastAsia="Cambria" w:hAnsi="Palatino Linotype" w:cs="Times New Roman"/>
          <w:sz w:val="22"/>
          <w:szCs w:val="22"/>
          <w:highlight w:val="cyan"/>
        </w:rPr>
        <w:t>B</w:t>
      </w:r>
      <w:proofErr w:type="gramStart"/>
      <w:r w:rsidRPr="00D6089F">
        <w:rPr>
          <w:rFonts w:ascii="Palatino Linotype" w:eastAsia="Cambria" w:hAnsi="Palatino Linotype" w:cs="Times New Roman"/>
          <w:sz w:val="22"/>
          <w:szCs w:val="22"/>
        </w:rPr>
        <w:t>]%</w:t>
      </w:r>
      <w:proofErr w:type="gramEnd"/>
      <w:r w:rsidRPr="00D6089F">
        <w:rPr>
          <w:rFonts w:ascii="Palatino Linotype" w:eastAsia="Cambria" w:hAnsi="Palatino Linotype" w:cs="Times New Roman"/>
          <w:sz w:val="22"/>
          <w:szCs w:val="22"/>
        </w:rPr>
        <w:t xml:space="preserve">, which was an </w:t>
      </w:r>
      <w:r w:rsidRPr="001E58C3">
        <w:rPr>
          <w:rFonts w:ascii="Palatino Linotype" w:eastAsia="Cambria" w:hAnsi="Palatino Linotype" w:cs="Times New Roman"/>
          <w:sz w:val="22"/>
          <w:szCs w:val="22"/>
          <w:highlight w:val="yellow"/>
        </w:rPr>
        <w:t>increase</w:t>
      </w:r>
      <w:r w:rsidR="00B0396F" w:rsidRPr="001E58C3">
        <w:rPr>
          <w:rFonts w:ascii="Palatino Linotype" w:eastAsia="Cambria" w:hAnsi="Palatino Linotype" w:cs="Times New Roman"/>
          <w:sz w:val="22"/>
          <w:szCs w:val="22"/>
          <w:highlight w:val="yellow"/>
        </w:rPr>
        <w:t>/decrease</w:t>
      </w:r>
      <w:r w:rsidRPr="00D6089F">
        <w:rPr>
          <w:rFonts w:ascii="Palatino Linotype" w:eastAsia="Cambria" w:hAnsi="Palatino Linotype" w:cs="Times New Roman"/>
          <w:sz w:val="22"/>
          <w:szCs w:val="22"/>
        </w:rPr>
        <w:t xml:space="preserve"> of [</w:t>
      </w:r>
      <w:r w:rsidRPr="00E34465">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D</w:t>
      </w:r>
      <w:r w:rsidRPr="00D6089F">
        <w:rPr>
          <w:rFonts w:ascii="Palatino Linotype" w:eastAsia="Cambria" w:hAnsi="Palatino Linotype" w:cs="Times New Roman"/>
          <w:sz w:val="22"/>
          <w:szCs w:val="22"/>
        </w:rPr>
        <w:t>]% from its proportion measured as of June 30, 201</w:t>
      </w:r>
      <w:r w:rsidR="00536BF6">
        <w:rPr>
          <w:rFonts w:ascii="Palatino Linotype" w:eastAsia="Cambria" w:hAnsi="Palatino Linotype" w:cs="Times New Roman"/>
          <w:sz w:val="22"/>
          <w:szCs w:val="22"/>
        </w:rPr>
        <w:t>5</w:t>
      </w:r>
      <w:r w:rsidRPr="00D6089F">
        <w:rPr>
          <w:rFonts w:ascii="Palatino Linotype" w:eastAsia="Cambria" w:hAnsi="Palatino Linotype" w:cs="Times New Roman"/>
          <w:sz w:val="22"/>
          <w:szCs w:val="22"/>
        </w:rPr>
        <w:t xml:space="preserve">.  </w:t>
      </w:r>
    </w:p>
    <w:p w14:paraId="591926E5" w14:textId="77777777" w:rsidR="00944258" w:rsidRPr="00D6089F" w:rsidRDefault="00944258" w:rsidP="00944258">
      <w:pPr>
        <w:rPr>
          <w:rFonts w:ascii="Palatino Linotype" w:eastAsia="Cambria" w:hAnsi="Palatino Linotype" w:cs="Times New Roman"/>
          <w:sz w:val="22"/>
          <w:szCs w:val="22"/>
        </w:rPr>
      </w:pPr>
    </w:p>
    <w:p w14:paraId="2612F79C" w14:textId="30C4AF34" w:rsidR="00BC2912" w:rsidRDefault="00944258" w:rsidP="00944258">
      <w:pPr>
        <w:jc w:val="both"/>
        <w:rPr>
          <w:rFonts w:ascii="Palatino Linotype" w:eastAsia="Cambria" w:hAnsi="Palatino Linotype" w:cs="Times New Roman"/>
          <w:sz w:val="22"/>
          <w:szCs w:val="22"/>
          <w:highlight w:val="yellow"/>
        </w:rPr>
      </w:pPr>
      <w:r w:rsidRPr="00D6089F">
        <w:rPr>
          <w:rFonts w:ascii="Palatino Linotype" w:eastAsia="Cambria" w:hAnsi="Palatino Linotype" w:cs="Times New Roman"/>
          <w:sz w:val="22"/>
          <w:szCs w:val="22"/>
        </w:rPr>
        <w:t>For the year ended June 30, 201</w:t>
      </w:r>
      <w:r w:rsidR="00061F60">
        <w:rPr>
          <w:rFonts w:ascii="Palatino Linotype" w:eastAsia="Cambria" w:hAnsi="Palatino Linotype" w:cs="Times New Roman"/>
          <w:sz w:val="22"/>
          <w:szCs w:val="22"/>
        </w:rPr>
        <w:t>7</w:t>
      </w:r>
      <w:r w:rsidRPr="00D6089F">
        <w:rPr>
          <w:rFonts w:ascii="Palatino Linotype" w:eastAsia="Cambria" w:hAnsi="Palatino Linotype" w:cs="Times New Roman"/>
          <w:sz w:val="22"/>
          <w:szCs w:val="22"/>
        </w:rPr>
        <w:t>, the Agency recognized pension expense of $</w:t>
      </w:r>
      <w:r w:rsidRPr="00D6089F">
        <w:rPr>
          <w:rFonts w:ascii="Palatino Linotype" w:eastAsia="Cambria" w:hAnsi="Palatino Linotype" w:cs="Times New Roman"/>
          <w:sz w:val="22"/>
          <w:szCs w:val="22"/>
          <w:highlight w:val="cyan"/>
        </w:rPr>
        <w:t>[</w:t>
      </w:r>
      <w:r w:rsidRPr="005A42B1">
        <w:rPr>
          <w:rFonts w:ascii="Palatino Linotype" w:eastAsia="Cambria" w:hAnsi="Palatino Linotype" w:cs="Times New Roman"/>
          <w:sz w:val="22"/>
          <w:szCs w:val="22"/>
          <w:highlight w:val="cyan"/>
        </w:rPr>
        <w:t xml:space="preserve">Exhibit 2 Column </w:t>
      </w:r>
      <w:r w:rsidR="00E34465" w:rsidRPr="005A42B1">
        <w:rPr>
          <w:rFonts w:ascii="Palatino Linotype" w:eastAsia="Cambria" w:hAnsi="Palatino Linotype" w:cs="Times New Roman"/>
          <w:sz w:val="22"/>
          <w:szCs w:val="22"/>
          <w:highlight w:val="cyan"/>
        </w:rPr>
        <w:t>E]</w:t>
      </w:r>
      <w:r w:rsidR="00E34465" w:rsidRPr="005A42B1">
        <w:rPr>
          <w:rFonts w:ascii="Palatino Linotype" w:eastAsia="Cambria" w:hAnsi="Palatino Linotype" w:cs="Times New Roman"/>
          <w:sz w:val="22"/>
          <w:szCs w:val="22"/>
          <w:highlight w:val="yellow"/>
        </w:rPr>
        <w:t xml:space="preserve"> </w:t>
      </w:r>
      <w:r w:rsidRPr="005A42B1">
        <w:rPr>
          <w:rFonts w:ascii="Palatino Linotype" w:eastAsia="Cambria" w:hAnsi="Palatino Linotype" w:cs="Times New Roman"/>
          <w:sz w:val="22"/>
          <w:szCs w:val="22"/>
          <w:highlight w:val="yellow"/>
        </w:rPr>
        <w:t xml:space="preserve">plus employer’s amortization of change in proportionate share and differences between employer contributions and proportionate share of contributions, </w:t>
      </w:r>
      <w:r w:rsidR="00BC2912" w:rsidRPr="00095F7D">
        <w:rPr>
          <w:rFonts w:ascii="Palatino Linotype" w:eastAsia="Cambria" w:hAnsi="Palatino Linotype" w:cs="Times New Roman"/>
          <w:sz w:val="22"/>
          <w:szCs w:val="22"/>
          <w:highlight w:val="yellow"/>
        </w:rPr>
        <w:t>$</w:t>
      </w:r>
      <w:r w:rsidR="00BC2912">
        <w:rPr>
          <w:rFonts w:ascii="Palatino Linotype" w:eastAsia="Cambria" w:hAnsi="Palatino Linotype" w:cs="Times New Roman"/>
          <w:sz w:val="22"/>
          <w:szCs w:val="22"/>
          <w:highlight w:val="yellow"/>
        </w:rPr>
        <w:t>[</w:t>
      </w:r>
      <w:r w:rsidR="00BC2912" w:rsidRPr="00E34465">
        <w:rPr>
          <w:rFonts w:ascii="Palatino Linotype" w:eastAsia="Cambria" w:hAnsi="Palatino Linotype" w:cs="Times New Roman"/>
          <w:sz w:val="22"/>
          <w:szCs w:val="22"/>
          <w:highlight w:val="yellow"/>
        </w:rPr>
        <w:t>insert amount fro</w:t>
      </w:r>
      <w:r w:rsidR="00E34465" w:rsidRPr="00E34465">
        <w:rPr>
          <w:rFonts w:ascii="Palatino Linotype" w:eastAsia="Cambria" w:hAnsi="Palatino Linotype" w:cs="Times New Roman"/>
          <w:sz w:val="22"/>
          <w:szCs w:val="22"/>
          <w:highlight w:val="yellow"/>
        </w:rPr>
        <w:t>m Exhibit 4a, Total (</w:t>
      </w:r>
      <w:r w:rsidR="003619D1">
        <w:rPr>
          <w:rFonts w:ascii="Palatino Linotype" w:eastAsia="Cambria" w:hAnsi="Palatino Linotype" w:cs="Times New Roman"/>
          <w:sz w:val="22"/>
          <w:szCs w:val="22"/>
          <w:highlight w:val="yellow"/>
        </w:rPr>
        <w:t>4</w:t>
      </w:r>
      <w:r w:rsidR="00E34465" w:rsidRPr="00E34465">
        <w:rPr>
          <w:rFonts w:ascii="Palatino Linotype" w:eastAsia="Cambria" w:hAnsi="Palatino Linotype" w:cs="Times New Roman"/>
          <w:sz w:val="22"/>
          <w:szCs w:val="22"/>
          <w:highlight w:val="yellow"/>
        </w:rPr>
        <w:t>+</w:t>
      </w:r>
      <w:r w:rsidR="003619D1">
        <w:rPr>
          <w:rFonts w:ascii="Palatino Linotype" w:eastAsia="Cambria" w:hAnsi="Palatino Linotype" w:cs="Times New Roman"/>
          <w:sz w:val="22"/>
          <w:szCs w:val="22"/>
          <w:highlight w:val="yellow"/>
        </w:rPr>
        <w:t>5</w:t>
      </w:r>
      <w:r w:rsidR="00E34465" w:rsidRPr="00E34465">
        <w:rPr>
          <w:rFonts w:ascii="Palatino Linotype" w:eastAsia="Cambria" w:hAnsi="Palatino Linotype" w:cs="Times New Roman"/>
          <w:sz w:val="22"/>
          <w:szCs w:val="22"/>
          <w:highlight w:val="yellow"/>
        </w:rPr>
        <w:t>), 201</w:t>
      </w:r>
      <w:r w:rsidR="00061F60">
        <w:rPr>
          <w:rFonts w:ascii="Palatino Linotype" w:eastAsia="Cambria" w:hAnsi="Palatino Linotype" w:cs="Times New Roman"/>
          <w:sz w:val="22"/>
          <w:szCs w:val="22"/>
          <w:highlight w:val="yellow"/>
        </w:rPr>
        <w:t>7</w:t>
      </w:r>
      <w:r w:rsidR="00E34465">
        <w:rPr>
          <w:rFonts w:ascii="Palatino Linotype" w:eastAsia="Cambria" w:hAnsi="Palatino Linotype" w:cs="Times New Roman"/>
          <w:sz w:val="22"/>
          <w:szCs w:val="22"/>
          <w:highlight w:val="yellow"/>
        </w:rPr>
        <w:t>]</w:t>
      </w:r>
      <w:r w:rsidR="00BC2912" w:rsidRPr="00095F7D">
        <w:rPr>
          <w:rFonts w:ascii="Palatino Linotype" w:eastAsia="Cambria" w:hAnsi="Palatino Linotype" w:cs="Times New Roman"/>
          <w:sz w:val="22"/>
          <w:szCs w:val="22"/>
          <w:highlight w:val="yellow"/>
        </w:rPr>
        <w:t>.</w:t>
      </w:r>
    </w:p>
    <w:p w14:paraId="76A07139" w14:textId="26741CF4" w:rsidR="00BA295A" w:rsidRDefault="00BA295A" w:rsidP="00944258">
      <w:pPr>
        <w:jc w:val="both"/>
        <w:rPr>
          <w:rFonts w:ascii="Palatino Linotype" w:eastAsia="Cambria" w:hAnsi="Palatino Linotype" w:cs="Times New Roman"/>
          <w:color w:val="FF0000"/>
          <w:sz w:val="22"/>
          <w:szCs w:val="22"/>
          <w:highlight w:val="cyan"/>
        </w:rPr>
      </w:pPr>
    </w:p>
    <w:p w14:paraId="357659D0" w14:textId="2A566219" w:rsidR="0073302A" w:rsidRDefault="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At June 30, 201</w:t>
      </w:r>
      <w:r w:rsidR="000C45E9">
        <w:rPr>
          <w:rFonts w:ascii="Palatino Linotype" w:eastAsia="Cambria" w:hAnsi="Palatino Linotype" w:cs="Times New Roman"/>
          <w:sz w:val="22"/>
          <w:szCs w:val="22"/>
        </w:rPr>
        <w:t>7</w:t>
      </w:r>
      <w:r w:rsidRPr="00D6089F">
        <w:rPr>
          <w:rFonts w:ascii="Palatino Linotype" w:eastAsia="Cambria" w:hAnsi="Palatino Linotype" w:cs="Times New Roman"/>
          <w:sz w:val="22"/>
          <w:szCs w:val="22"/>
        </w:rPr>
        <w:t>, the Agency reported deferred outflows of resources and deferred inflows of resources related to pensions from the following sources:</w:t>
      </w:r>
    </w:p>
    <w:p w14:paraId="40C71221" w14:textId="77777777" w:rsidR="0073302A" w:rsidRDefault="0073302A">
      <w:pPr>
        <w:jc w:val="both"/>
        <w:rPr>
          <w:rFonts w:ascii="Palatino Linotype" w:eastAsia="Cambria" w:hAnsi="Palatino Linotype" w:cs="Times New Roman"/>
          <w:sz w:val="22"/>
          <w:szCs w:val="22"/>
        </w:rPr>
      </w:pPr>
    </w:p>
    <w:bookmarkStart w:id="2" w:name="_MON_1548588381"/>
    <w:bookmarkEnd w:id="2"/>
    <w:p w14:paraId="4E6F9F34" w14:textId="3C5ABA19" w:rsidR="00427EA6" w:rsidRPr="00D6089F" w:rsidRDefault="0045791F">
      <w:pPr>
        <w:jc w:val="both"/>
        <w:rPr>
          <w:rFonts w:ascii="Palatino Linotype" w:eastAsia="Cambria" w:hAnsi="Palatino Linotype" w:cs="Times New Roman"/>
          <w:sz w:val="22"/>
          <w:szCs w:val="22"/>
        </w:rPr>
      </w:pPr>
      <w:r>
        <w:rPr>
          <w:rFonts w:ascii="Palatino Linotype" w:eastAsia="Cambria" w:hAnsi="Palatino Linotype" w:cs="Times New Roman"/>
          <w:sz w:val="22"/>
          <w:szCs w:val="22"/>
        </w:rPr>
        <w:object w:dxaOrig="10337" w:dyaOrig="4696" w14:anchorId="78A48096">
          <v:shape id="_x0000_i1067" type="#_x0000_t75" style="width:466.2pt;height:245.4pt" o:ole="">
            <v:imagedata r:id="rId12" o:title=""/>
          </v:shape>
          <o:OLEObject Type="Embed" ProgID="Excel.Sheet.12" ShapeID="_x0000_i1067" DrawAspect="Content" ObjectID="_1548661229" r:id="rId13"/>
        </w:object>
      </w:r>
    </w:p>
    <w:p w14:paraId="5C5DC4C2" w14:textId="77777777" w:rsidR="00427EA6" w:rsidRDefault="00427EA6" w:rsidP="00B0396F">
      <w:pPr>
        <w:jc w:val="center"/>
        <w:rPr>
          <w:rFonts w:ascii="Palatino Linotype" w:eastAsia="Cambria" w:hAnsi="Palatino Linotype" w:cs="Times New Roman"/>
        </w:rPr>
      </w:pPr>
      <w:bookmarkStart w:id="3" w:name="OLE_LINK1"/>
    </w:p>
    <w:bookmarkEnd w:id="3"/>
    <w:p w14:paraId="6FEDB754" w14:textId="4D846938" w:rsidR="00E87F83" w:rsidRPr="001C09C7" w:rsidRDefault="00944258" w:rsidP="0045791F">
      <w:pPr>
        <w:spacing w:after="120"/>
        <w:jc w:val="both"/>
        <w:rPr>
          <w:rFonts w:ascii="Palatino Linotype" w:eastAsia="Cambria" w:hAnsi="Palatino Linotype" w:cs="Times New Roman"/>
        </w:rPr>
      </w:pPr>
      <w:r w:rsidRPr="00D6089F">
        <w:rPr>
          <w:rFonts w:ascii="Palatino Linotype" w:eastAsia="Cambria" w:hAnsi="Palatino Linotype" w:cs="Times New Roman"/>
          <w:sz w:val="22"/>
          <w:szCs w:val="22"/>
        </w:rPr>
        <w:t>$</w:t>
      </w:r>
      <w:r w:rsidRPr="00D6089F">
        <w:rPr>
          <w:rFonts w:ascii="Palatino Linotype" w:eastAsia="Cambria" w:hAnsi="Palatino Linotype" w:cs="Times New Roman"/>
          <w:sz w:val="22"/>
          <w:szCs w:val="22"/>
          <w:highlight w:val="yellow"/>
        </w:rPr>
        <w:t>[insert amount]</w:t>
      </w:r>
      <w:r w:rsidRPr="00D6089F">
        <w:rPr>
          <w:rFonts w:ascii="Palatino Linotype" w:eastAsia="Cambria" w:hAnsi="Palatino Linotype" w:cs="Times New Roman"/>
          <w:sz w:val="22"/>
          <w:szCs w:val="22"/>
        </w:rPr>
        <w:t xml:space="preserve"> reported as deferred outflows of resources related to pensions resulting from Agency contributions subsequent to the measurement date will be recognized as a reduction of the Net Pension </w:t>
      </w:r>
      <w:r w:rsidR="00303F45">
        <w:rPr>
          <w:rFonts w:ascii="Palatino Linotype" w:eastAsia="Cambria" w:hAnsi="Palatino Linotype" w:cs="Times New Roman"/>
          <w:sz w:val="22"/>
          <w:szCs w:val="22"/>
        </w:rPr>
        <w:t>Liability</w:t>
      </w:r>
      <w:r w:rsidR="00303F45"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in the year ended June 30, 201</w:t>
      </w:r>
      <w:r w:rsidR="00536BF6">
        <w:rPr>
          <w:rFonts w:ascii="Palatino Linotype" w:eastAsia="Cambria" w:hAnsi="Palatino Linotype" w:cs="Times New Roman"/>
          <w:sz w:val="22"/>
          <w:szCs w:val="22"/>
        </w:rPr>
        <w:t>7</w:t>
      </w:r>
      <w:r w:rsidRPr="00D6089F">
        <w:rPr>
          <w:rFonts w:ascii="Palatino Linotype" w:eastAsia="Cambria" w:hAnsi="Palatino Linotype" w:cs="Times New Roman"/>
          <w:sz w:val="22"/>
          <w:szCs w:val="22"/>
        </w:rPr>
        <w:t xml:space="preserve">.  Other amounts reported as deferred outflows of resources and deferred inflows of resources related to pensions </w:t>
      </w:r>
      <w:proofErr w:type="gramStart"/>
      <w:r w:rsidRPr="00D6089F">
        <w:rPr>
          <w:rFonts w:ascii="Palatino Linotype" w:eastAsia="Cambria" w:hAnsi="Palatino Linotype" w:cs="Times New Roman"/>
          <w:sz w:val="22"/>
          <w:szCs w:val="22"/>
        </w:rPr>
        <w:t>will be recognized</w:t>
      </w:r>
      <w:proofErr w:type="gramEnd"/>
      <w:r w:rsidRPr="00D6089F">
        <w:rPr>
          <w:rFonts w:ascii="Palatino Linotype" w:eastAsia="Cambria" w:hAnsi="Palatino Linotype" w:cs="Times New Roman"/>
          <w:sz w:val="22"/>
          <w:szCs w:val="22"/>
        </w:rPr>
        <w:t xml:space="preserve"> in pension expense as follows:</w:t>
      </w:r>
    </w:p>
    <w:bookmarkStart w:id="4" w:name="_MON_1548579992"/>
    <w:bookmarkEnd w:id="4"/>
    <w:p w14:paraId="3D0F52C9" w14:textId="72A60EB6" w:rsidR="00F93FD0" w:rsidRPr="001C09C7" w:rsidRDefault="00367652" w:rsidP="00944258">
      <w:pPr>
        <w:rPr>
          <w:rFonts w:ascii="Palatino Linotype" w:eastAsia="Cambria" w:hAnsi="Palatino Linotype" w:cs="Times New Roman"/>
          <w:sz w:val="22"/>
          <w:szCs w:val="22"/>
        </w:rPr>
      </w:pPr>
      <w:r>
        <w:rPr>
          <w:rFonts w:ascii="Palatino Linotype" w:eastAsia="Cambria" w:hAnsi="Palatino Linotype" w:cs="Times New Roman"/>
          <w:sz w:val="22"/>
          <w:szCs w:val="22"/>
        </w:rPr>
        <w:object w:dxaOrig="10713" w:dyaOrig="1592" w14:anchorId="28F8201F">
          <v:shape id="_x0000_i1039" type="#_x0000_t75" style="width:513pt;height:87pt" o:ole="">
            <v:imagedata r:id="rId14" o:title=""/>
          </v:shape>
          <o:OLEObject Type="Embed" ProgID="Excel.Sheet.12" ShapeID="_x0000_i1039" DrawAspect="Content" ObjectID="_1548661230" r:id="rId15"/>
        </w:object>
      </w:r>
    </w:p>
    <w:p w14:paraId="072008B1" w14:textId="77777777" w:rsidR="00FB30C5" w:rsidRDefault="00FB30C5" w:rsidP="00944258">
      <w:pPr>
        <w:rPr>
          <w:rFonts w:ascii="Palatino Linotype" w:eastAsia="Cambria" w:hAnsi="Palatino Linotype" w:cs="Times New Roman"/>
          <w:b/>
          <w:i/>
          <w:sz w:val="22"/>
          <w:szCs w:val="22"/>
        </w:rPr>
      </w:pPr>
    </w:p>
    <w:p w14:paraId="03E17B6B" w14:textId="3BA4FA1A" w:rsidR="00944258" w:rsidRPr="00D6089F" w:rsidRDefault="00536BF6" w:rsidP="00944258">
      <w:pPr>
        <w:rPr>
          <w:rFonts w:ascii="Palatino Linotype" w:eastAsia="Cambria" w:hAnsi="Palatino Linotype" w:cs="Times New Roman"/>
          <w:b/>
          <w:i/>
          <w:sz w:val="22"/>
          <w:szCs w:val="22"/>
        </w:rPr>
      </w:pPr>
      <w:r>
        <w:rPr>
          <w:rFonts w:ascii="Palatino Linotype" w:eastAsia="Cambria" w:hAnsi="Palatino Linotype" w:cs="Times New Roman"/>
          <w:b/>
          <w:i/>
          <w:sz w:val="22"/>
          <w:szCs w:val="22"/>
        </w:rPr>
        <w:lastRenderedPageBreak/>
        <w:t>A</w:t>
      </w:r>
      <w:r w:rsidR="00944258" w:rsidRPr="00D6089F">
        <w:rPr>
          <w:rFonts w:ascii="Palatino Linotype" w:eastAsia="Cambria" w:hAnsi="Palatino Linotype" w:cs="Times New Roman"/>
          <w:b/>
          <w:i/>
          <w:sz w:val="22"/>
          <w:szCs w:val="22"/>
        </w:rPr>
        <w:t>ctuarial Assumptions</w:t>
      </w:r>
    </w:p>
    <w:p w14:paraId="3B1114CB" w14:textId="78B61BD0" w:rsidR="008357D7" w:rsidRDefault="008357D7" w:rsidP="000C5ADD">
      <w:pPr>
        <w:jc w:val="both"/>
        <w:rPr>
          <w:rFonts w:ascii="Palatino Linotype" w:eastAsia="Cambria" w:hAnsi="Palatino Linotype" w:cs="Times New Roman"/>
          <w:sz w:val="22"/>
          <w:szCs w:val="22"/>
        </w:rPr>
      </w:pPr>
      <w:r w:rsidRPr="008357D7">
        <w:rPr>
          <w:rFonts w:ascii="Palatino Linotype" w:eastAsia="Cambria" w:hAnsi="Palatino Linotype" w:cs="Times New Roman"/>
          <w:sz w:val="22"/>
          <w:szCs w:val="22"/>
        </w:rPr>
        <w:t>A summary of the actuarial methods and assumptions used in determining the total pension liability as of June 30, 201</w:t>
      </w:r>
      <w:r w:rsidR="00536BF6">
        <w:rPr>
          <w:rFonts w:ascii="Palatino Linotype" w:eastAsia="Cambria" w:hAnsi="Palatino Linotype" w:cs="Times New Roman"/>
          <w:sz w:val="22"/>
          <w:szCs w:val="22"/>
        </w:rPr>
        <w:t>6</w:t>
      </w:r>
      <w:r w:rsidR="00536BF6" w:rsidRPr="008357D7">
        <w:rPr>
          <w:rFonts w:ascii="Palatino Linotype" w:eastAsia="Cambria" w:hAnsi="Palatino Linotype" w:cs="Times New Roman"/>
          <w:sz w:val="22"/>
          <w:szCs w:val="22"/>
        </w:rPr>
        <w:t xml:space="preserve"> </w:t>
      </w:r>
      <w:r w:rsidRPr="008357D7">
        <w:rPr>
          <w:rFonts w:ascii="Palatino Linotype" w:eastAsia="Cambria" w:hAnsi="Palatino Linotype" w:cs="Times New Roman"/>
          <w:sz w:val="22"/>
          <w:szCs w:val="22"/>
        </w:rPr>
        <w:t xml:space="preserve">are as follows: </w:t>
      </w:r>
    </w:p>
    <w:p w14:paraId="7D7A6CB1" w14:textId="77777777" w:rsidR="008357D7" w:rsidRDefault="008357D7" w:rsidP="001C09C7">
      <w:pPr>
        <w:spacing w:line="200" w:lineRule="exact"/>
        <w:jc w:val="both"/>
        <w:rPr>
          <w:rFonts w:ascii="Palatino Linotype" w:eastAsia="Cambria" w:hAnsi="Palatino Linotype" w:cs="Times New Roman"/>
          <w:sz w:val="22"/>
          <w:szCs w:val="22"/>
        </w:rPr>
      </w:pPr>
    </w:p>
    <w:tbl>
      <w:tblPr>
        <w:tblW w:w="9360" w:type="dxa"/>
        <w:tblInd w:w="108" w:type="dxa"/>
        <w:tblLook w:val="01E0" w:firstRow="1" w:lastRow="1" w:firstColumn="1" w:lastColumn="1" w:noHBand="0" w:noVBand="0"/>
      </w:tblPr>
      <w:tblGrid>
        <w:gridCol w:w="3780"/>
        <w:gridCol w:w="5580"/>
      </w:tblGrid>
      <w:tr w:rsidR="008357D7" w:rsidRPr="00A61F50" w14:paraId="29E368F1" w14:textId="77777777" w:rsidTr="001C09C7">
        <w:tc>
          <w:tcPr>
            <w:tcW w:w="3780" w:type="dxa"/>
          </w:tcPr>
          <w:p w14:paraId="4E82FFE8"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ind w:right="72"/>
              <w:rPr>
                <w:rFonts w:ascii="Palatino Linotype" w:hAnsi="Palatino Linotype"/>
                <w:b/>
                <w:sz w:val="22"/>
                <w:szCs w:val="22"/>
              </w:rPr>
            </w:pPr>
            <w:r w:rsidRPr="00A61F50">
              <w:rPr>
                <w:rFonts w:ascii="Palatino Linotype" w:hAnsi="Palatino Linotype"/>
                <w:b/>
                <w:sz w:val="22"/>
                <w:szCs w:val="22"/>
              </w:rPr>
              <w:t>Valuation Date</w:t>
            </w:r>
          </w:p>
        </w:tc>
        <w:tc>
          <w:tcPr>
            <w:tcW w:w="5580" w:type="dxa"/>
          </w:tcPr>
          <w:p w14:paraId="12A0477E" w14:textId="2038C8E9"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 xml:space="preserve">June 30, </w:t>
            </w:r>
            <w:r w:rsidR="00E66C52">
              <w:rPr>
                <w:rFonts w:ascii="Palatino Linotype" w:hAnsi="Palatino Linotype"/>
                <w:sz w:val="22"/>
                <w:szCs w:val="22"/>
              </w:rPr>
              <w:t>2016</w:t>
            </w:r>
          </w:p>
        </w:tc>
      </w:tr>
      <w:tr w:rsidR="008357D7" w:rsidRPr="00A61F50" w14:paraId="1E247460" w14:textId="77777777" w:rsidTr="001C09C7">
        <w:trPr>
          <w:trHeight w:val="251"/>
        </w:trPr>
        <w:tc>
          <w:tcPr>
            <w:tcW w:w="3780" w:type="dxa"/>
          </w:tcPr>
          <w:p w14:paraId="143DB9EC"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Actuarial Cost Method</w:t>
            </w:r>
          </w:p>
        </w:tc>
        <w:tc>
          <w:tcPr>
            <w:tcW w:w="5580" w:type="dxa"/>
          </w:tcPr>
          <w:p w14:paraId="1F125A71"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r w:rsidRPr="00A61F50">
              <w:rPr>
                <w:rFonts w:ascii="Palatino Linotype" w:hAnsi="Palatino Linotype"/>
                <w:sz w:val="22"/>
                <w:szCs w:val="22"/>
              </w:rPr>
              <w:t>Entry Age Normal</w:t>
            </w:r>
          </w:p>
        </w:tc>
      </w:tr>
      <w:tr w:rsidR="008357D7" w:rsidRPr="00A61F50" w14:paraId="60417A4C" w14:textId="77777777" w:rsidTr="001C09C7">
        <w:tc>
          <w:tcPr>
            <w:tcW w:w="3780" w:type="dxa"/>
            <w:shd w:val="clear" w:color="auto" w:fill="auto"/>
          </w:tcPr>
          <w:p w14:paraId="779139C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Actuarial Assumptions:</w:t>
            </w:r>
          </w:p>
          <w:p w14:paraId="19616168"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Expected Remaining     </w:t>
            </w:r>
          </w:p>
          <w:p w14:paraId="47E2806A"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Service Lives      </w:t>
            </w:r>
          </w:p>
          <w:p w14:paraId="57652DBC" w14:textId="48507176"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Investment Rate of Return</w:t>
            </w:r>
          </w:p>
          <w:p w14:paraId="4EF80DC2" w14:textId="37CD0685" w:rsidR="008357D7" w:rsidRPr="00A61F50" w:rsidRDefault="008357D7" w:rsidP="000C5ADD">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 xml:space="preserve">     Inflation Rate    </w:t>
            </w:r>
          </w:p>
          <w:p w14:paraId="75A2FB12" w14:textId="72D74BF3" w:rsidR="008357D7" w:rsidRPr="00A61F50" w:rsidRDefault="008357D7" w:rsidP="008357D7">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 xml:space="preserve">     Mortality</w:t>
            </w:r>
          </w:p>
        </w:tc>
        <w:tc>
          <w:tcPr>
            <w:tcW w:w="5580" w:type="dxa"/>
            <w:shd w:val="clear" w:color="auto" w:fill="auto"/>
          </w:tcPr>
          <w:p w14:paraId="0886D9CD"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p>
          <w:p w14:paraId="385E557B"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jc w:val="both"/>
              <w:rPr>
                <w:rFonts w:ascii="Palatino Linotype" w:hAnsi="Palatino Linotype"/>
                <w:sz w:val="22"/>
                <w:szCs w:val="22"/>
              </w:rPr>
            </w:pPr>
          </w:p>
          <w:p w14:paraId="16021884" w14:textId="1B65B8F8"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3 years</w:t>
            </w:r>
          </w:p>
          <w:p w14:paraId="697348B5" w14:textId="065468DF"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7.75% per annum</w:t>
            </w:r>
            <w:r w:rsidR="00E66C52">
              <w:rPr>
                <w:rFonts w:ascii="Palatino Linotype" w:hAnsi="Palatino Linotype"/>
                <w:sz w:val="22"/>
                <w:szCs w:val="22"/>
              </w:rPr>
              <w:t>, net of investment expenses</w:t>
            </w:r>
            <w:r w:rsidR="00E46A74">
              <w:rPr>
                <w:rFonts w:ascii="Palatino Linotype" w:hAnsi="Palatino Linotype"/>
                <w:sz w:val="22"/>
                <w:szCs w:val="22"/>
              </w:rPr>
              <w:t>*</w:t>
            </w:r>
          </w:p>
          <w:p w14:paraId="48899BC4" w14:textId="47C34833"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b/>
                <w:sz w:val="22"/>
                <w:szCs w:val="22"/>
              </w:rPr>
            </w:pPr>
            <w:r w:rsidRPr="00A61F50">
              <w:rPr>
                <w:rFonts w:ascii="Palatino Linotype" w:hAnsi="Palatino Linotype"/>
                <w:sz w:val="22"/>
                <w:szCs w:val="22"/>
              </w:rPr>
              <w:t>3.0% per annum</w:t>
            </w:r>
          </w:p>
          <w:p w14:paraId="096F9D31"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Non-disabled members</w:t>
            </w:r>
            <w:r w:rsidRPr="00A61F50">
              <w:rPr>
                <w:rFonts w:ascii="Palatino Linotype" w:hAnsi="Palatino Linotype"/>
                <w:sz w:val="22"/>
                <w:szCs w:val="22"/>
              </w:rPr>
              <w:t xml:space="preserve"> - Mortality rates based on the RP-2000 Combined Healthy Mortality Table with mortality improvement projected to 2015.</w:t>
            </w:r>
          </w:p>
          <w:p w14:paraId="19EE2656"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b/>
                <w:sz w:val="22"/>
                <w:szCs w:val="22"/>
              </w:rPr>
              <w:t>Disabled members</w:t>
            </w:r>
            <w:r w:rsidRPr="00A61F50">
              <w:rPr>
                <w:rFonts w:ascii="Palatino Linotype" w:hAnsi="Palatino Linotype"/>
                <w:sz w:val="22"/>
                <w:szCs w:val="22"/>
              </w:rPr>
              <w:t xml:space="preserve"> – Mortality rates based on the RP-2000 Disabled Retiree Mortality Table, with no projection for mortality improvement.</w:t>
            </w:r>
          </w:p>
        </w:tc>
      </w:tr>
      <w:tr w:rsidR="008357D7" w:rsidRPr="00A61F50" w14:paraId="27A62D98" w14:textId="77777777" w:rsidTr="001C09C7">
        <w:tc>
          <w:tcPr>
            <w:tcW w:w="3780" w:type="dxa"/>
            <w:shd w:val="clear" w:color="auto" w:fill="auto"/>
          </w:tcPr>
          <w:p w14:paraId="4AFD9345"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Termination, Disability, and Retirement</w:t>
            </w:r>
          </w:p>
        </w:tc>
        <w:tc>
          <w:tcPr>
            <w:tcW w:w="5580" w:type="dxa"/>
            <w:shd w:val="clear" w:color="auto" w:fill="auto"/>
          </w:tcPr>
          <w:p w14:paraId="7D0799DA" w14:textId="429EDA48" w:rsidR="008357D7" w:rsidRPr="00A61F50" w:rsidRDefault="008357D7" w:rsidP="00E66C52">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Termination,</w:t>
            </w:r>
            <w:r w:rsidR="00E66C52">
              <w:rPr>
                <w:rFonts w:ascii="Palatino Linotype" w:hAnsi="Palatino Linotype"/>
                <w:sz w:val="22"/>
                <w:szCs w:val="22"/>
              </w:rPr>
              <w:t xml:space="preserve"> d</w:t>
            </w:r>
            <w:r w:rsidRPr="00A61F50">
              <w:rPr>
                <w:rFonts w:ascii="Palatino Linotype" w:hAnsi="Palatino Linotype"/>
                <w:sz w:val="22"/>
                <w:szCs w:val="22"/>
              </w:rPr>
              <w:t>isability,   and   retirement   assumptions were   projected    based    on a   five-year (2009-2013) experience study of the System's members.</w:t>
            </w:r>
          </w:p>
        </w:tc>
      </w:tr>
      <w:tr w:rsidR="008357D7" w:rsidRPr="00A61F50" w14:paraId="596F8EC9" w14:textId="77777777" w:rsidTr="001C09C7">
        <w:trPr>
          <w:trHeight w:val="3150"/>
        </w:trPr>
        <w:tc>
          <w:tcPr>
            <w:tcW w:w="3780" w:type="dxa"/>
            <w:shd w:val="clear" w:color="auto" w:fill="auto"/>
          </w:tcPr>
          <w:p w14:paraId="2D2FDB30"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z w:val="22"/>
                <w:szCs w:val="22"/>
              </w:rPr>
              <w:t>Salary Increases</w:t>
            </w:r>
          </w:p>
        </w:tc>
        <w:tc>
          <w:tcPr>
            <w:tcW w:w="5580" w:type="dxa"/>
            <w:shd w:val="clear" w:color="auto" w:fill="auto"/>
          </w:tcPr>
          <w:p w14:paraId="1FF89868" w14:textId="77777777" w:rsidR="008357D7" w:rsidRPr="00A61F50" w:rsidRDefault="008357D7" w:rsidP="00571676">
            <w:pPr>
              <w:tabs>
                <w:tab w:val="left" w:pos="-720"/>
                <w:tab w:val="left" w:pos="0"/>
                <w:tab w:val="left" w:pos="336"/>
                <w:tab w:val="left" w:pos="537"/>
                <w:tab w:val="left" w:pos="806"/>
                <w:tab w:val="left" w:pos="1200"/>
                <w:tab w:val="left" w:pos="5426"/>
                <w:tab w:val="decimal" w:pos="6711"/>
                <w:tab w:val="left" w:pos="7140"/>
                <w:tab w:val="decimal" w:pos="8425"/>
                <w:tab w:val="left" w:pos="8853"/>
                <w:tab w:val="decimal" w:pos="10138"/>
              </w:tabs>
              <w:spacing w:after="120"/>
              <w:jc w:val="both"/>
              <w:rPr>
                <w:rFonts w:ascii="Palatino Linotype" w:hAnsi="Palatino Linotype"/>
                <w:sz w:val="22"/>
                <w:szCs w:val="22"/>
              </w:rPr>
            </w:pPr>
            <w:r w:rsidRPr="00A61F50">
              <w:rPr>
                <w:rFonts w:ascii="Palatino Linotype" w:hAnsi="Palatino Linotype"/>
                <w:sz w:val="22"/>
                <w:szCs w:val="22"/>
              </w:rPr>
              <w:t xml:space="preserve">Salary increases were projected based on a 2009-2013 experience study of the System's members.  The salary increase ranges for  specific types of members are: </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239"/>
              <w:gridCol w:w="967"/>
              <w:gridCol w:w="227"/>
              <w:gridCol w:w="944"/>
            </w:tblGrid>
            <w:tr w:rsidR="008357D7" w:rsidRPr="00A61F50" w14:paraId="7E500550" w14:textId="77777777" w:rsidTr="00A61F50">
              <w:tc>
                <w:tcPr>
                  <w:tcW w:w="1949" w:type="dxa"/>
                  <w:tcBorders>
                    <w:bottom w:val="single" w:sz="4" w:space="0" w:color="auto"/>
                  </w:tcBorders>
                  <w:vAlign w:val="bottom"/>
                </w:tcPr>
                <w:p w14:paraId="1EFB8AB3" w14:textId="77777777" w:rsidR="008357D7" w:rsidRPr="00A61F50" w:rsidRDefault="008357D7" w:rsidP="00A61F50">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b/>
                      <w:sz w:val="22"/>
                      <w:szCs w:val="22"/>
                    </w:rPr>
                  </w:pPr>
                  <w:r w:rsidRPr="00A61F50">
                    <w:rPr>
                      <w:rFonts w:ascii="Palatino Linotype" w:hAnsi="Palatino Linotype"/>
                      <w:b/>
                      <w:sz w:val="22"/>
                      <w:szCs w:val="22"/>
                    </w:rPr>
                    <w:t>Member Type</w:t>
                  </w:r>
                </w:p>
              </w:tc>
              <w:tc>
                <w:tcPr>
                  <w:tcW w:w="239" w:type="dxa"/>
                </w:tcPr>
                <w:p w14:paraId="3304C2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67" w:type="dxa"/>
                  <w:tcBorders>
                    <w:bottom w:val="single" w:sz="4" w:space="0" w:color="auto"/>
                  </w:tcBorders>
                  <w:vAlign w:val="bottom"/>
                </w:tcPr>
                <w:p w14:paraId="58A0E1E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Lower Range</w:t>
                  </w:r>
                </w:p>
              </w:tc>
              <w:tc>
                <w:tcPr>
                  <w:tcW w:w="227" w:type="dxa"/>
                </w:tcPr>
                <w:p w14:paraId="2F07CB70"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p>
              </w:tc>
              <w:tc>
                <w:tcPr>
                  <w:tcW w:w="944" w:type="dxa"/>
                  <w:tcBorders>
                    <w:bottom w:val="single" w:sz="4" w:space="0" w:color="auto"/>
                  </w:tcBorders>
                  <w:vAlign w:val="bottom"/>
                </w:tcPr>
                <w:p w14:paraId="59146413"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center"/>
                    <w:rPr>
                      <w:rFonts w:ascii="Palatino Linotype" w:hAnsi="Palatino Linotype"/>
                      <w:b/>
                      <w:sz w:val="22"/>
                      <w:szCs w:val="22"/>
                    </w:rPr>
                  </w:pPr>
                  <w:r w:rsidRPr="00A61F50">
                    <w:rPr>
                      <w:rFonts w:ascii="Palatino Linotype" w:hAnsi="Palatino Linotype"/>
                      <w:b/>
                      <w:sz w:val="22"/>
                      <w:szCs w:val="22"/>
                    </w:rPr>
                    <w:t>Upper Range</w:t>
                  </w:r>
                </w:p>
              </w:tc>
            </w:tr>
            <w:tr w:rsidR="008357D7" w:rsidRPr="00A61F50" w14:paraId="53EAA53C" w14:textId="77777777" w:rsidTr="00A61F50">
              <w:tc>
                <w:tcPr>
                  <w:tcW w:w="1949" w:type="dxa"/>
                  <w:tcBorders>
                    <w:top w:val="single" w:sz="4" w:space="0" w:color="auto"/>
                  </w:tcBorders>
                </w:tcPr>
                <w:p w14:paraId="5EE8DB27"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Regular</w:t>
                  </w:r>
                </w:p>
              </w:tc>
              <w:tc>
                <w:tcPr>
                  <w:tcW w:w="239" w:type="dxa"/>
                  <w:tcBorders>
                    <w:right w:val="nil"/>
                  </w:tcBorders>
                </w:tcPr>
                <w:p w14:paraId="262C4235" w14:textId="77777777" w:rsidR="008357D7" w:rsidRPr="00A61F50" w:rsidRDefault="008357D7"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top w:val="single" w:sz="4" w:space="0" w:color="auto"/>
                    <w:left w:val="nil"/>
                  </w:tcBorders>
                </w:tcPr>
                <w:p w14:paraId="0AF4B955" w14:textId="77777777" w:rsidR="008357D7" w:rsidRPr="00A61F50" w:rsidRDefault="008357D7" w:rsidP="00571676">
                  <w:pPr>
                    <w:tabs>
                      <w:tab w:val="left" w:pos="-720"/>
                      <w:tab w:val="left" w:pos="0"/>
                      <w:tab w:val="left" w:pos="342"/>
                      <w:tab w:val="left" w:pos="1200"/>
                      <w:tab w:val="left" w:pos="3312"/>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4.0%</w:t>
                  </w:r>
                </w:p>
              </w:tc>
              <w:tc>
                <w:tcPr>
                  <w:tcW w:w="227" w:type="dxa"/>
                  <w:tcBorders>
                    <w:left w:val="nil"/>
                  </w:tcBorders>
                </w:tcPr>
                <w:p w14:paraId="6976AFB1"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Borders>
                    <w:top w:val="single" w:sz="4" w:space="0" w:color="auto"/>
                  </w:tcBorders>
                </w:tcPr>
                <w:p w14:paraId="093F13E3"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13.0%</w:t>
                  </w:r>
                </w:p>
              </w:tc>
            </w:tr>
            <w:tr w:rsidR="008357D7" w:rsidRPr="00A61F50" w14:paraId="0430BAF6" w14:textId="77777777" w:rsidTr="00A61F50">
              <w:tc>
                <w:tcPr>
                  <w:tcW w:w="1949" w:type="dxa"/>
                </w:tcPr>
                <w:p w14:paraId="6BD1CA5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Judges</w:t>
                  </w:r>
                </w:p>
              </w:tc>
              <w:tc>
                <w:tcPr>
                  <w:tcW w:w="239" w:type="dxa"/>
                  <w:tcBorders>
                    <w:right w:val="nil"/>
                  </w:tcBorders>
                </w:tcPr>
                <w:p w14:paraId="6A4D03E9"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279BEF6B"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3.0%</w:t>
                  </w:r>
                </w:p>
              </w:tc>
              <w:tc>
                <w:tcPr>
                  <w:tcW w:w="227" w:type="dxa"/>
                  <w:tcBorders>
                    <w:left w:val="nil"/>
                  </w:tcBorders>
                </w:tcPr>
                <w:p w14:paraId="243C9352"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2EC7426"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5.5%</w:t>
                  </w:r>
                </w:p>
              </w:tc>
            </w:tr>
            <w:tr w:rsidR="008357D7" w:rsidRPr="00A61F50" w14:paraId="1992ACD7" w14:textId="77777777" w:rsidTr="00A61F50">
              <w:tc>
                <w:tcPr>
                  <w:tcW w:w="1949" w:type="dxa"/>
                </w:tcPr>
                <w:p w14:paraId="5C812B15"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 xml:space="preserve">Corrections </w:t>
                  </w:r>
                </w:p>
                <w:p w14:paraId="625EBBEA" w14:textId="7179BB74"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rPr>
                      <w:rFonts w:ascii="Palatino Linotype" w:hAnsi="Palatino Linotype"/>
                      <w:sz w:val="22"/>
                      <w:szCs w:val="22"/>
                    </w:rPr>
                  </w:pPr>
                  <w:r w:rsidRPr="00A61F50">
                    <w:rPr>
                      <w:rFonts w:ascii="Palatino Linotype" w:hAnsi="Palatino Linotype"/>
                      <w:sz w:val="22"/>
                      <w:szCs w:val="22"/>
                    </w:rPr>
                    <w:t>Hazardous Duty</w:t>
                  </w:r>
                </w:p>
                <w:p w14:paraId="675BE070" w14:textId="77777777" w:rsidR="008357D7" w:rsidRPr="00A61F50" w:rsidRDefault="008357D7" w:rsidP="00A61F50">
                  <w:pPr>
                    <w:spacing w:after="120"/>
                    <w:rPr>
                      <w:rFonts w:ascii="Palatino Linotype" w:hAnsi="Palatino Linotype"/>
                      <w:sz w:val="22"/>
                      <w:szCs w:val="22"/>
                    </w:rPr>
                  </w:pPr>
                  <w:r w:rsidRPr="00A61F50">
                    <w:rPr>
                      <w:rFonts w:ascii="Palatino Linotype" w:hAnsi="Palatino Linotype"/>
                      <w:sz w:val="22"/>
                      <w:szCs w:val="22"/>
                    </w:rPr>
                    <w:t>Wildlife</w:t>
                  </w:r>
                </w:p>
              </w:tc>
              <w:tc>
                <w:tcPr>
                  <w:tcW w:w="239" w:type="dxa"/>
                  <w:tcBorders>
                    <w:right w:val="nil"/>
                  </w:tcBorders>
                </w:tcPr>
                <w:p w14:paraId="4ABE201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67" w:type="dxa"/>
                  <w:tcBorders>
                    <w:left w:val="nil"/>
                  </w:tcBorders>
                </w:tcPr>
                <w:p w14:paraId="7AE333A1"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p w14:paraId="794096AE"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p w14:paraId="3DE18054"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3.6%</w:t>
                  </w:r>
                </w:p>
              </w:tc>
              <w:tc>
                <w:tcPr>
                  <w:tcW w:w="227" w:type="dxa"/>
                  <w:tcBorders>
                    <w:left w:val="nil"/>
                  </w:tcBorders>
                </w:tcPr>
                <w:p w14:paraId="0F04FEBF"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p>
              </w:tc>
              <w:tc>
                <w:tcPr>
                  <w:tcW w:w="944" w:type="dxa"/>
                </w:tcPr>
                <w:p w14:paraId="4DAD8BE6"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p w14:paraId="15DCDE55" w14:textId="77777777" w:rsidR="008357D7" w:rsidRPr="00A61F50" w:rsidRDefault="008357D7" w:rsidP="00571676">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p w14:paraId="554A2C4F" w14:textId="73CE34A9" w:rsidR="008357D7" w:rsidRPr="00A61F50" w:rsidRDefault="008357D7" w:rsidP="008357D7">
                  <w:pPr>
                    <w:tabs>
                      <w:tab w:val="left" w:pos="-720"/>
                      <w:tab w:val="left" w:pos="0"/>
                      <w:tab w:val="left" w:pos="342"/>
                      <w:tab w:val="left" w:pos="1200"/>
                      <w:tab w:val="left" w:pos="3254"/>
                      <w:tab w:val="left" w:pos="3762"/>
                      <w:tab w:val="left" w:pos="3852"/>
                      <w:tab w:val="left" w:pos="5426"/>
                      <w:tab w:val="decimal" w:pos="6711"/>
                      <w:tab w:val="left" w:pos="7140"/>
                      <w:tab w:val="decimal" w:pos="8425"/>
                      <w:tab w:val="left" w:pos="8853"/>
                      <w:tab w:val="decimal" w:pos="10138"/>
                    </w:tabs>
                    <w:jc w:val="right"/>
                    <w:rPr>
                      <w:rFonts w:ascii="Palatino Linotype" w:hAnsi="Palatino Linotype"/>
                      <w:sz w:val="22"/>
                      <w:szCs w:val="22"/>
                    </w:rPr>
                  </w:pPr>
                  <w:r w:rsidRPr="00A61F50">
                    <w:rPr>
                      <w:rFonts w:ascii="Palatino Linotype" w:hAnsi="Palatino Linotype"/>
                      <w:sz w:val="22"/>
                      <w:szCs w:val="22"/>
                    </w:rPr>
                    <w:t>14.5%</w:t>
                  </w:r>
                </w:p>
              </w:tc>
            </w:tr>
          </w:tbl>
          <w:p w14:paraId="2AFD7B4A" w14:textId="77777777" w:rsidR="008357D7" w:rsidRPr="00A61F50" w:rsidRDefault="008357D7" w:rsidP="00571676">
            <w:pPr>
              <w:tabs>
                <w:tab w:val="left" w:pos="-720"/>
                <w:tab w:val="left" w:pos="0"/>
                <w:tab w:val="left" w:pos="1872"/>
              </w:tabs>
              <w:spacing w:after="120"/>
              <w:rPr>
                <w:rFonts w:ascii="Palatino Linotype" w:hAnsi="Palatino Linotype"/>
                <w:sz w:val="22"/>
                <w:szCs w:val="22"/>
              </w:rPr>
            </w:pPr>
          </w:p>
        </w:tc>
      </w:tr>
      <w:tr w:rsidR="008357D7" w:rsidRPr="00A61F50" w14:paraId="32401464" w14:textId="77777777" w:rsidTr="001C09C7">
        <w:trPr>
          <w:trHeight w:val="1971"/>
        </w:trPr>
        <w:tc>
          <w:tcPr>
            <w:tcW w:w="3780" w:type="dxa"/>
            <w:shd w:val="clear" w:color="auto" w:fill="auto"/>
          </w:tcPr>
          <w:p w14:paraId="27C5AB1C" w14:textId="77777777" w:rsidR="008357D7" w:rsidRPr="00A61F50" w:rsidRDefault="008357D7" w:rsidP="00571676">
            <w:pPr>
              <w:tabs>
                <w:tab w:val="left" w:pos="-720"/>
                <w:tab w:val="left" w:pos="-360"/>
                <w:tab w:val="left" w:pos="336"/>
                <w:tab w:val="left" w:pos="537"/>
                <w:tab w:val="left" w:pos="806"/>
                <w:tab w:val="left" w:pos="1200"/>
                <w:tab w:val="left" w:pos="5426"/>
                <w:tab w:val="decimal" w:pos="6711"/>
                <w:tab w:val="left" w:pos="7140"/>
                <w:tab w:val="decimal" w:pos="8425"/>
                <w:tab w:val="left" w:pos="8853"/>
                <w:tab w:val="decimal" w:pos="10138"/>
              </w:tabs>
              <w:spacing w:after="120"/>
              <w:rPr>
                <w:rFonts w:ascii="Palatino Linotype" w:hAnsi="Palatino Linotype"/>
                <w:b/>
                <w:sz w:val="22"/>
                <w:szCs w:val="22"/>
              </w:rPr>
            </w:pPr>
            <w:r w:rsidRPr="00A61F50">
              <w:rPr>
                <w:rFonts w:ascii="Palatino Linotype" w:hAnsi="Palatino Linotype"/>
                <w:b/>
                <w:spacing w:val="-3"/>
                <w:sz w:val="22"/>
                <w:szCs w:val="22"/>
              </w:rPr>
              <w:t>Cost of Living Adjustments</w:t>
            </w:r>
          </w:p>
        </w:tc>
        <w:tc>
          <w:tcPr>
            <w:tcW w:w="5580" w:type="dxa"/>
            <w:shd w:val="clear" w:color="auto" w:fill="auto"/>
          </w:tcPr>
          <w:p w14:paraId="65420ED6" w14:textId="77777777" w:rsidR="008357D7" w:rsidRPr="00A61F50" w:rsidRDefault="008357D7" w:rsidP="0045791F">
            <w:pPr>
              <w:tabs>
                <w:tab w:val="left" w:pos="-1195"/>
                <w:tab w:val="left" w:pos="-475"/>
                <w:tab w:val="left" w:pos="-115"/>
                <w:tab w:val="left" w:pos="1170"/>
                <w:tab w:val="left" w:pos="4320"/>
              </w:tabs>
              <w:suppressAutoHyphens/>
              <w:spacing w:line="240" w:lineRule="atLeast"/>
              <w:jc w:val="both"/>
              <w:rPr>
                <w:rFonts w:ascii="Palatino Linotype" w:hAnsi="Palatino Linotype"/>
                <w:sz w:val="22"/>
                <w:szCs w:val="22"/>
              </w:rPr>
            </w:pPr>
            <w:r w:rsidRPr="00A61F50">
              <w:rPr>
                <w:rFonts w:ascii="Palatino Linotype" w:hAnsi="Palatino Linotype"/>
                <w:spacing w:val="-3"/>
                <w:sz w:val="22"/>
                <w:szCs w:val="22"/>
              </w:rPr>
              <w:t>The present value of future retirement benefits is based on benefits currently being paid by the System and includes previously granted cost of living increases.  The projected benefit payments do not include provisions for potential future increases not yet authorized by the Board of Trustees as they were deemed not to be substantively automatic.</w:t>
            </w:r>
          </w:p>
        </w:tc>
      </w:tr>
    </w:tbl>
    <w:p w14:paraId="3C612AEC" w14:textId="3455ED7B" w:rsidR="00E66C52" w:rsidRDefault="00E66C52" w:rsidP="00E46A74">
      <w:pPr>
        <w:ind w:left="270"/>
        <w:jc w:val="both"/>
        <w:rPr>
          <w:rFonts w:ascii="Palatino Linotype" w:eastAsia="Cambria" w:hAnsi="Palatino Linotype" w:cs="Times New Roman"/>
          <w:sz w:val="22"/>
          <w:szCs w:val="22"/>
        </w:rPr>
      </w:pPr>
      <w:r>
        <w:rPr>
          <w:rFonts w:ascii="Palatino Linotype" w:eastAsia="Cambria" w:hAnsi="Palatino Linotype" w:cs="Times New Roman"/>
          <w:sz w:val="22"/>
          <w:szCs w:val="22"/>
        </w:rPr>
        <w:t>*The investment rate of return used in the actuarial valuation for funding purposes was 8.15%, recognizing an additional 25 basis points for gain-sharing and 15 basis points to offset administrative expenses.</w:t>
      </w:r>
    </w:p>
    <w:p w14:paraId="4D9A83B4" w14:textId="77777777" w:rsidR="00E66C52" w:rsidRDefault="00E66C52" w:rsidP="00E46A74">
      <w:pPr>
        <w:jc w:val="both"/>
        <w:rPr>
          <w:rFonts w:ascii="Palatino Linotype" w:eastAsia="Cambria" w:hAnsi="Palatino Linotype" w:cs="Times New Roman"/>
          <w:sz w:val="22"/>
          <w:szCs w:val="22"/>
        </w:rPr>
      </w:pPr>
    </w:p>
    <w:p w14:paraId="20FBBFC6" w14:textId="71CC7DE3" w:rsidR="000C45E9" w:rsidRPr="00093460" w:rsidRDefault="00944258" w:rsidP="000C45E9">
      <w:pPr>
        <w:jc w:val="both"/>
        <w:rPr>
          <w:rFonts w:ascii="Palatino Linotype" w:eastAsia="Cambria" w:hAnsi="Palatino Linotype" w:cs="Times New Roman"/>
        </w:rPr>
      </w:pPr>
      <w:r w:rsidRPr="00D6089F">
        <w:rPr>
          <w:rFonts w:ascii="Palatino Linotype" w:eastAsia="Cambria" w:hAnsi="Palatino Linotype" w:cs="Times New Roman"/>
          <w:sz w:val="22"/>
          <w:szCs w:val="22"/>
        </w:rPr>
        <w:t xml:space="preserve">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w:t>
      </w:r>
      <w:r w:rsidR="00E66C52">
        <w:rPr>
          <w:rFonts w:ascii="Palatino Linotype" w:eastAsia="Cambria" w:hAnsi="Palatino Linotype" w:cs="Times New Roman"/>
          <w:sz w:val="22"/>
          <w:szCs w:val="22"/>
        </w:rPr>
        <w:t xml:space="preserve">of 3.25% </w:t>
      </w:r>
      <w:r w:rsidRPr="00D6089F">
        <w:rPr>
          <w:rFonts w:ascii="Palatino Linotype" w:eastAsia="Cambria" w:hAnsi="Palatino Linotype" w:cs="Times New Roman"/>
          <w:sz w:val="22"/>
          <w:szCs w:val="22"/>
        </w:rPr>
        <w:t xml:space="preserve">and an adjustment for the effect of rebalancing/diversification.  </w:t>
      </w:r>
      <w:r w:rsidR="00E66C52">
        <w:rPr>
          <w:rFonts w:ascii="Palatino Linotype" w:eastAsia="Cambria" w:hAnsi="Palatino Linotype" w:cs="Times New Roman"/>
          <w:sz w:val="22"/>
          <w:szCs w:val="22"/>
        </w:rPr>
        <w:t xml:space="preserve">The resulting expected long-term rate of return is </w:t>
      </w:r>
      <w:r w:rsidR="002C2AA9">
        <w:rPr>
          <w:rFonts w:ascii="Palatino Linotype" w:eastAsia="Cambria" w:hAnsi="Palatino Linotype" w:cs="Times New Roman"/>
          <w:sz w:val="22"/>
          <w:szCs w:val="22"/>
        </w:rPr>
        <w:t>8.72% for 2016.  B</w:t>
      </w:r>
      <w:r w:rsidRPr="00D6089F">
        <w:rPr>
          <w:rFonts w:ascii="Palatino Linotype" w:eastAsia="Cambria" w:hAnsi="Palatino Linotype" w:cs="Times New Roman"/>
          <w:sz w:val="22"/>
          <w:szCs w:val="22"/>
        </w:rPr>
        <w:t xml:space="preserve">est estimates of geometric real rates of return for each major asset class included in the pension plan’s target asset allocation as of June 30, </w:t>
      </w:r>
      <w:r w:rsidR="002C2AA9" w:rsidRPr="00D6089F">
        <w:rPr>
          <w:rFonts w:ascii="Palatino Linotype" w:eastAsia="Cambria" w:hAnsi="Palatino Linotype" w:cs="Times New Roman"/>
          <w:sz w:val="22"/>
          <w:szCs w:val="22"/>
        </w:rPr>
        <w:t>201</w:t>
      </w:r>
      <w:r w:rsidR="002C2AA9">
        <w:rPr>
          <w:rFonts w:ascii="Palatino Linotype" w:eastAsia="Cambria" w:hAnsi="Palatino Linotype" w:cs="Times New Roman"/>
          <w:sz w:val="22"/>
          <w:szCs w:val="22"/>
        </w:rPr>
        <w:t>6</w:t>
      </w:r>
      <w:r w:rsidR="002C2AA9" w:rsidRPr="00D6089F">
        <w:rPr>
          <w:rFonts w:ascii="Palatino Linotype" w:eastAsia="Cambria" w:hAnsi="Palatino Linotype" w:cs="Times New Roman"/>
          <w:sz w:val="22"/>
          <w:szCs w:val="22"/>
        </w:rPr>
        <w:t xml:space="preserve"> </w:t>
      </w:r>
      <w:r w:rsidRPr="00D6089F">
        <w:rPr>
          <w:rFonts w:ascii="Palatino Linotype" w:eastAsia="Cambria" w:hAnsi="Palatino Linotype" w:cs="Times New Roman"/>
          <w:sz w:val="22"/>
          <w:szCs w:val="22"/>
        </w:rPr>
        <w:t>are summarized in the following table:</w:t>
      </w:r>
    </w:p>
    <w:p w14:paraId="7A000E3D" w14:textId="4EEAD5B9" w:rsidR="00944258" w:rsidRDefault="00644F68" w:rsidP="00FE5329">
      <w:pPr>
        <w:jc w:val="both"/>
        <w:rPr>
          <w:rFonts w:ascii="Palatino Linotype" w:eastAsia="Cambria" w:hAnsi="Palatino Linotype" w:cs="Times New Roman"/>
        </w:rPr>
      </w:pPr>
      <w:bookmarkStart w:id="5" w:name="OLE_LINK3"/>
      <w:bookmarkStart w:id="6" w:name="OLE_LINK2"/>
      <w:r>
        <w:rPr>
          <w:rFonts w:ascii="Palatino Linotype" w:eastAsia="Cambria" w:hAnsi="Palatino Linotype" w:cs="Times New Roman"/>
        </w:rPr>
        <w:t xml:space="preserve">       </w:t>
      </w:r>
      <w:r w:rsidR="003625C3">
        <w:rPr>
          <w:rFonts w:ascii="Palatino Linotype" w:eastAsia="Cambria" w:hAnsi="Palatino Linotype" w:cs="Times New Roman"/>
        </w:rPr>
        <w:t xml:space="preserve"> </w:t>
      </w:r>
      <w:bookmarkEnd w:id="5"/>
      <w:bookmarkEnd w:id="6"/>
      <w:bookmarkStart w:id="7" w:name="_MON_1548580163"/>
      <w:bookmarkEnd w:id="7"/>
      <w:r w:rsidR="00FD551A">
        <w:rPr>
          <w:rFonts w:ascii="Palatino Linotype" w:eastAsia="Cambria" w:hAnsi="Palatino Linotype" w:cs="Times New Roman"/>
        </w:rPr>
        <w:object w:dxaOrig="7935" w:dyaOrig="3443" w14:anchorId="16919778">
          <v:shape id="_x0000_i1030" type="#_x0000_t75" style="width:446.4pt;height:186pt" o:ole="">
            <v:imagedata r:id="rId16" o:title=""/>
          </v:shape>
          <o:OLEObject Type="Embed" ProgID="Excel.Sheet.12" ShapeID="_x0000_i1030" DrawAspect="Content" ObjectID="_1548661231" r:id="rId17"/>
        </w:object>
      </w:r>
    </w:p>
    <w:p w14:paraId="544F7536" w14:textId="77777777" w:rsidR="00993ACC" w:rsidRPr="00093460" w:rsidRDefault="00993ACC" w:rsidP="00FE5329">
      <w:pPr>
        <w:jc w:val="both"/>
        <w:rPr>
          <w:rFonts w:ascii="Palatino Linotype" w:eastAsia="Cambria" w:hAnsi="Palatino Linotype" w:cs="Times New Roman"/>
        </w:rPr>
      </w:pPr>
    </w:p>
    <w:p w14:paraId="04248FD2" w14:textId="55EB82AF" w:rsidR="00BA295A" w:rsidRDefault="00F46318" w:rsidP="00FD551A">
      <w:pPr>
        <w:rPr>
          <w:rFonts w:ascii="Palatino Linotype" w:eastAsia="Cambria" w:hAnsi="Palatino Linotype" w:cs="Times New Roman"/>
          <w:i/>
          <w:sz w:val="22"/>
          <w:szCs w:val="22"/>
        </w:rPr>
      </w:pPr>
      <w:r w:rsidRPr="005A42B1">
        <w:rPr>
          <w:rFonts w:ascii="Palatino Linotype" w:eastAsia="Cambria" w:hAnsi="Palatino Linotype" w:cs="Times New Roman"/>
          <w:b/>
          <w:sz w:val="22"/>
          <w:szCs w:val="22"/>
          <w:vertAlign w:val="superscript"/>
        </w:rPr>
        <w:t>1</w:t>
      </w:r>
      <w:r w:rsidRPr="005A42B1">
        <w:rPr>
          <w:rFonts w:ascii="Palatino Linotype" w:eastAsia="Cambria" w:hAnsi="Palatino Linotype" w:cs="Times New Roman"/>
          <w:b/>
          <w:i/>
          <w:sz w:val="22"/>
          <w:szCs w:val="22"/>
        </w:rPr>
        <w:t xml:space="preserve">For reference only:  </w:t>
      </w:r>
      <w:r w:rsidRPr="005A42B1">
        <w:rPr>
          <w:rFonts w:ascii="Palatino Linotype" w:eastAsia="Cambria" w:hAnsi="Palatino Linotype" w:cs="Times New Roman"/>
          <w:i/>
          <w:sz w:val="22"/>
          <w:szCs w:val="22"/>
        </w:rPr>
        <w:t>Target Allocation presented in LASERS 201</w:t>
      </w:r>
      <w:r w:rsidR="000C45E9">
        <w:rPr>
          <w:rFonts w:ascii="Palatino Linotype" w:eastAsia="Cambria" w:hAnsi="Palatino Linotype" w:cs="Times New Roman"/>
          <w:i/>
          <w:sz w:val="22"/>
          <w:szCs w:val="22"/>
        </w:rPr>
        <w:t>6</w:t>
      </w:r>
      <w:r w:rsidRPr="005A42B1">
        <w:rPr>
          <w:rFonts w:ascii="Palatino Linotype" w:eastAsia="Cambria" w:hAnsi="Palatino Linotype" w:cs="Times New Roman"/>
          <w:i/>
          <w:sz w:val="22"/>
          <w:szCs w:val="22"/>
        </w:rPr>
        <w:t xml:space="preserve"> CAFR, page </w:t>
      </w:r>
      <w:r w:rsidR="000C45E9">
        <w:rPr>
          <w:rFonts w:ascii="Palatino Linotype" w:eastAsia="Cambria" w:hAnsi="Palatino Linotype" w:cs="Times New Roman"/>
          <w:i/>
          <w:sz w:val="22"/>
          <w:szCs w:val="22"/>
        </w:rPr>
        <w:t>50</w:t>
      </w:r>
      <w:r w:rsidRPr="005A42B1">
        <w:rPr>
          <w:rFonts w:ascii="Palatino Linotype" w:eastAsia="Cambria" w:hAnsi="Palatino Linotype" w:cs="Times New Roman"/>
          <w:i/>
          <w:sz w:val="22"/>
          <w:szCs w:val="22"/>
        </w:rPr>
        <w:t>, and Long-Term Expected Real Rate of Return, page 28.</w:t>
      </w:r>
    </w:p>
    <w:p w14:paraId="7A87ED60" w14:textId="77777777" w:rsidR="00F46318" w:rsidRPr="005A42B1" w:rsidRDefault="00F46318" w:rsidP="005A42B1">
      <w:pPr>
        <w:ind w:left="720"/>
        <w:rPr>
          <w:rFonts w:ascii="Palatino Linotype" w:eastAsia="Cambria" w:hAnsi="Palatino Linotype" w:cs="Times New Roman"/>
          <w:b/>
          <w:sz w:val="22"/>
          <w:szCs w:val="22"/>
        </w:rPr>
      </w:pPr>
    </w:p>
    <w:p w14:paraId="7F5530C2" w14:textId="77777777" w:rsidR="00944258" w:rsidRDefault="00944258" w:rsidP="00944258">
      <w:pPr>
        <w:rPr>
          <w:rFonts w:ascii="Palatino Linotype" w:eastAsia="Cambria" w:hAnsi="Palatino Linotype" w:cs="Times New Roman"/>
          <w:b/>
          <w:i/>
          <w:sz w:val="22"/>
          <w:szCs w:val="22"/>
        </w:rPr>
      </w:pPr>
      <w:r w:rsidRPr="00D6089F">
        <w:rPr>
          <w:rFonts w:ascii="Palatino Linotype" w:eastAsia="Cambria" w:hAnsi="Palatino Linotype" w:cs="Times New Roman"/>
          <w:b/>
          <w:i/>
          <w:sz w:val="22"/>
          <w:szCs w:val="22"/>
        </w:rPr>
        <w:t>Discount Rate</w:t>
      </w:r>
    </w:p>
    <w:p w14:paraId="023C6D8E" w14:textId="77777777" w:rsidR="00033CDA" w:rsidRPr="00D6089F" w:rsidRDefault="00033CDA" w:rsidP="00040D53">
      <w:pPr>
        <w:spacing w:line="200" w:lineRule="exact"/>
        <w:rPr>
          <w:rFonts w:ascii="Palatino Linotype" w:eastAsia="Cambria" w:hAnsi="Palatino Linotype" w:cs="Times New Roman"/>
          <w:b/>
          <w:i/>
          <w:sz w:val="22"/>
          <w:szCs w:val="22"/>
        </w:rPr>
      </w:pPr>
    </w:p>
    <w:p w14:paraId="6343836D" w14:textId="230BD876" w:rsidR="00944258" w:rsidRPr="00D6089F" w:rsidRDefault="00944258" w:rsidP="00944258">
      <w:pPr>
        <w:jc w:val="both"/>
        <w:rPr>
          <w:rFonts w:ascii="Palatino Linotype" w:eastAsia="Cambria" w:hAnsi="Palatino Linotype" w:cs="Times New Roman"/>
          <w:sz w:val="22"/>
          <w:szCs w:val="22"/>
        </w:rPr>
      </w:pPr>
      <w:r w:rsidRPr="00D6089F">
        <w:rPr>
          <w:rFonts w:ascii="Palatino Linotype" w:eastAsia="Cambria" w:hAnsi="Palatino Linotype" w:cs="Times New Roman"/>
          <w:sz w:val="22"/>
          <w:szCs w:val="22"/>
        </w:rPr>
        <w:t>The discount rate used to measure the total pension liability was 7.75%.  The projection of cash flows used to determine the discount rate assumed that employee contributions will be made at the current contribution rate</w:t>
      </w:r>
      <w:r w:rsidR="000C45E9">
        <w:rPr>
          <w:rFonts w:ascii="Palatino Linotype" w:eastAsia="Cambria" w:hAnsi="Palatino Linotype" w:cs="Times New Roman"/>
          <w:sz w:val="22"/>
          <w:szCs w:val="22"/>
        </w:rPr>
        <w:t>s</w:t>
      </w:r>
      <w:r w:rsidRPr="00D6089F">
        <w:rPr>
          <w:rFonts w:ascii="Palatino Linotype" w:eastAsia="Cambria" w:hAnsi="Palatino Linotype" w:cs="Times New Roman"/>
          <w:sz w:val="22"/>
          <w:szCs w:val="22"/>
        </w:rPr>
        <w:t xml:space="preserve"> and that contributions from participating employers will be made at </w:t>
      </w:r>
      <w:r w:rsidR="000C45E9">
        <w:rPr>
          <w:rFonts w:ascii="Palatino Linotype" w:eastAsia="Cambria" w:hAnsi="Palatino Linotype" w:cs="Times New Roman"/>
          <w:sz w:val="22"/>
          <w:szCs w:val="22"/>
        </w:rPr>
        <w:t>the actuarially determined rates approved by PRSAC taking into consideration the recommendation of the pension plan’s actuary.</w:t>
      </w:r>
      <w:r w:rsidRPr="00D6089F">
        <w:rPr>
          <w:rFonts w:ascii="Palatino Linotype" w:eastAsia="Cambria" w:hAnsi="Palatino Linotype" w:cs="Times New Roman"/>
          <w:sz w:val="22"/>
          <w:szCs w:val="22"/>
        </w:rPr>
        <w:t xml:space="preserve">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015D833" w14:textId="77777777" w:rsidR="00944258" w:rsidRPr="00D6089F" w:rsidRDefault="00944258" w:rsidP="00944258">
      <w:pPr>
        <w:rPr>
          <w:rFonts w:ascii="Palatino Linotype" w:eastAsia="Cambria" w:hAnsi="Palatino Linotype" w:cs="Times New Roman"/>
          <w:sz w:val="22"/>
          <w:szCs w:val="22"/>
        </w:rPr>
      </w:pPr>
    </w:p>
    <w:p w14:paraId="5113E0B6" w14:textId="77777777" w:rsidR="00944258" w:rsidRDefault="00944258" w:rsidP="0045791F">
      <w:pPr>
        <w:keepNext/>
        <w:keepLines/>
        <w:rPr>
          <w:rFonts w:ascii="Palatino Linotype" w:hAnsi="Palatino Linotype"/>
          <w:b/>
          <w:i/>
          <w:sz w:val="22"/>
          <w:szCs w:val="22"/>
        </w:rPr>
      </w:pPr>
      <w:r w:rsidRPr="00D6089F">
        <w:rPr>
          <w:rFonts w:ascii="Palatino Linotype" w:hAnsi="Palatino Linotype"/>
          <w:b/>
          <w:i/>
          <w:sz w:val="22"/>
          <w:szCs w:val="22"/>
        </w:rPr>
        <w:t>Sensitivity of the Employer’s Proportionate Share of the Net Pension Liability to Changes in the Discount Rate</w:t>
      </w:r>
    </w:p>
    <w:p w14:paraId="02A08B33" w14:textId="77777777" w:rsidR="00033CDA" w:rsidRPr="00D6089F" w:rsidRDefault="00033CDA" w:rsidP="0045791F">
      <w:pPr>
        <w:keepNext/>
        <w:keepLines/>
        <w:spacing w:line="200" w:lineRule="exact"/>
        <w:rPr>
          <w:rFonts w:ascii="Palatino Linotype" w:hAnsi="Palatino Linotype"/>
          <w:b/>
          <w:i/>
          <w:sz w:val="22"/>
          <w:szCs w:val="22"/>
        </w:rPr>
      </w:pPr>
    </w:p>
    <w:p w14:paraId="6408D846" w14:textId="58F9A256" w:rsidR="00944258" w:rsidRPr="00D6089F" w:rsidRDefault="00944258" w:rsidP="0045791F">
      <w:pPr>
        <w:keepNext/>
        <w:keepLines/>
        <w:jc w:val="both"/>
        <w:rPr>
          <w:rFonts w:ascii="Palatino Linotype" w:hAnsi="Palatino Linotype"/>
          <w:sz w:val="22"/>
          <w:szCs w:val="22"/>
        </w:rPr>
      </w:pPr>
      <w:r w:rsidRPr="00D6089F">
        <w:rPr>
          <w:rFonts w:ascii="Palatino Linotype" w:hAnsi="Palatino Linotype"/>
          <w:sz w:val="22"/>
          <w:szCs w:val="22"/>
        </w:rPr>
        <w:lastRenderedPageBreak/>
        <w:t xml:space="preserve">The following presents the Employer’s  proportionate share of the Net Pension Liability using the discount rate of 7.75%, as well as what the Employer’s proportionate share of the Net Pension </w:t>
      </w:r>
      <w:r w:rsidR="00303F45">
        <w:rPr>
          <w:rFonts w:ascii="Palatino Linotype" w:hAnsi="Palatino Linotype"/>
          <w:sz w:val="22"/>
          <w:szCs w:val="22"/>
        </w:rPr>
        <w:t>Liability</w:t>
      </w:r>
      <w:r w:rsidR="00303F45" w:rsidRPr="00D6089F">
        <w:rPr>
          <w:rFonts w:ascii="Palatino Linotype" w:hAnsi="Palatino Linotype"/>
          <w:sz w:val="22"/>
          <w:szCs w:val="22"/>
        </w:rPr>
        <w:t xml:space="preserve"> </w:t>
      </w:r>
      <w:r w:rsidRPr="00D6089F">
        <w:rPr>
          <w:rFonts w:ascii="Palatino Linotype" w:hAnsi="Palatino Linotype"/>
          <w:sz w:val="22"/>
          <w:szCs w:val="22"/>
        </w:rPr>
        <w:t>would be if it were calculated using a discount rate that is one percentage</w:t>
      </w:r>
      <w:r w:rsidR="003F5258">
        <w:rPr>
          <w:rFonts w:ascii="Palatino Linotype" w:hAnsi="Palatino Linotype"/>
          <w:sz w:val="22"/>
          <w:szCs w:val="22"/>
        </w:rPr>
        <w:t xml:space="preserve"> </w:t>
      </w:r>
      <w:r w:rsidRPr="00D6089F">
        <w:rPr>
          <w:rFonts w:ascii="Palatino Linotype" w:hAnsi="Palatino Linotype"/>
          <w:sz w:val="22"/>
          <w:szCs w:val="22"/>
        </w:rPr>
        <w:t>point lower or one percentage</w:t>
      </w:r>
      <w:r w:rsidR="003F5258">
        <w:rPr>
          <w:rFonts w:ascii="Palatino Linotype" w:hAnsi="Palatino Linotype"/>
          <w:sz w:val="22"/>
          <w:szCs w:val="22"/>
        </w:rPr>
        <w:t xml:space="preserve"> </w:t>
      </w:r>
      <w:r w:rsidRPr="00D6089F">
        <w:rPr>
          <w:rFonts w:ascii="Palatino Linotype" w:hAnsi="Palatino Linotype"/>
          <w:sz w:val="22"/>
          <w:szCs w:val="22"/>
        </w:rPr>
        <w:t>point higher than the current rate:</w:t>
      </w:r>
    </w:p>
    <w:p w14:paraId="5943CA47" w14:textId="153F8DFA" w:rsidR="008D6F71" w:rsidRDefault="008D6F71" w:rsidP="00944258">
      <w:pPr>
        <w:rPr>
          <w:rFonts w:ascii="Palatino Linotype" w:hAnsi="Palatino Linotype"/>
        </w:rPr>
      </w:pPr>
      <w:bookmarkStart w:id="8" w:name="OLE_LINK4"/>
    </w:p>
    <w:bookmarkStart w:id="9" w:name="_MON_1486383819"/>
    <w:bookmarkEnd w:id="9"/>
    <w:p w14:paraId="423677E7" w14:textId="2BCEF7AB" w:rsidR="00367652" w:rsidRDefault="00367652" w:rsidP="00944258">
      <w:pPr>
        <w:rPr>
          <w:rFonts w:ascii="Palatino Linotype" w:hAnsi="Palatino Linotype"/>
        </w:rPr>
      </w:pPr>
      <w:r w:rsidRPr="00A01F9B">
        <w:rPr>
          <w:rFonts w:ascii="Palatino Linotype" w:hAnsi="Palatino Linotype"/>
        </w:rPr>
        <w:object w:dxaOrig="9786" w:dyaOrig="1907" w14:anchorId="3B4BE62B">
          <v:shape id="_x0000_i1049" type="#_x0000_t75" style="width:477.6pt;height:85.8pt" o:ole="" o:preferrelative="f">
            <v:imagedata r:id="rId18" o:title=""/>
            <o:lock v:ext="edit" aspectratio="f"/>
          </v:shape>
          <o:OLEObject Type="Embed" ProgID="Excel.Sheet.12" ShapeID="_x0000_i1049" DrawAspect="Content" ObjectID="_1548661232" r:id="rId19"/>
        </w:object>
      </w:r>
    </w:p>
    <w:p w14:paraId="2635C87F" w14:textId="77777777" w:rsidR="00367652" w:rsidRDefault="00367652" w:rsidP="00944258">
      <w:pPr>
        <w:rPr>
          <w:rFonts w:ascii="Palatino Linotype" w:hAnsi="Palatino Linotype"/>
        </w:rPr>
      </w:pPr>
    </w:p>
    <w:bookmarkEnd w:id="8"/>
    <w:p w14:paraId="2FA9025D" w14:textId="78DC0B7E" w:rsidR="00944258" w:rsidRDefault="00944258" w:rsidP="00944258">
      <w:pPr>
        <w:rPr>
          <w:rFonts w:ascii="Palatino Linotype" w:hAnsi="Palatino Linotype"/>
          <w:b/>
          <w:i/>
          <w:sz w:val="22"/>
          <w:szCs w:val="22"/>
        </w:rPr>
      </w:pPr>
      <w:r w:rsidRPr="00D6089F">
        <w:rPr>
          <w:rFonts w:ascii="Palatino Linotype" w:hAnsi="Palatino Linotype"/>
          <w:b/>
          <w:i/>
          <w:sz w:val="22"/>
          <w:szCs w:val="22"/>
        </w:rPr>
        <w:t>Pension Plan Fiduciary Net Position</w:t>
      </w:r>
    </w:p>
    <w:p w14:paraId="01CC873A" w14:textId="77777777" w:rsidR="00033CDA" w:rsidRPr="00D6089F" w:rsidRDefault="00033CDA" w:rsidP="008162FB">
      <w:pPr>
        <w:spacing w:line="200" w:lineRule="exact"/>
        <w:rPr>
          <w:rFonts w:ascii="Palatino Linotype" w:hAnsi="Palatino Linotype"/>
          <w:b/>
          <w:i/>
          <w:sz w:val="22"/>
          <w:szCs w:val="22"/>
        </w:rPr>
      </w:pPr>
    </w:p>
    <w:p w14:paraId="1E6C5C97" w14:textId="42A43B34" w:rsidR="00944258" w:rsidRPr="00D6089F" w:rsidRDefault="00944258" w:rsidP="00944258">
      <w:pPr>
        <w:jc w:val="both"/>
        <w:rPr>
          <w:rFonts w:ascii="Palatino Linotype" w:hAnsi="Palatino Linotype"/>
          <w:sz w:val="22"/>
          <w:szCs w:val="22"/>
        </w:rPr>
      </w:pPr>
      <w:r w:rsidRPr="00D6089F">
        <w:rPr>
          <w:rFonts w:ascii="Palatino Linotype" w:hAnsi="Palatino Linotype"/>
          <w:sz w:val="22"/>
          <w:szCs w:val="22"/>
        </w:rPr>
        <w:t xml:space="preserve">Detailed information about the pension plan’s fiduciary net position is available in the separately issued LASERS </w:t>
      </w:r>
      <w:r w:rsidR="003F5258" w:rsidRPr="00D6089F">
        <w:rPr>
          <w:rFonts w:ascii="Palatino Linotype" w:hAnsi="Palatino Linotype"/>
          <w:sz w:val="22"/>
          <w:szCs w:val="22"/>
        </w:rPr>
        <w:t>201</w:t>
      </w:r>
      <w:r w:rsidR="003F5258">
        <w:rPr>
          <w:rFonts w:ascii="Palatino Linotype" w:hAnsi="Palatino Linotype"/>
          <w:sz w:val="22"/>
          <w:szCs w:val="22"/>
        </w:rPr>
        <w:t>6</w:t>
      </w:r>
      <w:r w:rsidR="003F5258" w:rsidRPr="00D6089F">
        <w:rPr>
          <w:rFonts w:ascii="Palatino Linotype" w:hAnsi="Palatino Linotype"/>
          <w:sz w:val="22"/>
          <w:szCs w:val="22"/>
        </w:rPr>
        <w:t xml:space="preserve"> </w:t>
      </w:r>
      <w:r w:rsidRPr="00D6089F">
        <w:rPr>
          <w:rFonts w:ascii="Palatino Linotype" w:hAnsi="Palatino Linotype"/>
          <w:sz w:val="22"/>
          <w:szCs w:val="22"/>
        </w:rPr>
        <w:t xml:space="preserve">Comprehensive Annual Financial Report at </w:t>
      </w:r>
      <w:hyperlink r:id="rId20" w:history="1">
        <w:r w:rsidR="003A12D4" w:rsidRPr="006043C3">
          <w:rPr>
            <w:rStyle w:val="Hyperlink"/>
            <w:rFonts w:ascii="Palatino Linotype" w:hAnsi="Palatino Linotype"/>
            <w:sz w:val="22"/>
            <w:szCs w:val="22"/>
          </w:rPr>
          <w:t>www.lasersonline.org</w:t>
        </w:r>
      </w:hyperlink>
      <w:r w:rsidRPr="00D6089F">
        <w:rPr>
          <w:rFonts w:ascii="Palatino Linotype" w:hAnsi="Palatino Linotype"/>
          <w:sz w:val="22"/>
          <w:szCs w:val="22"/>
        </w:rPr>
        <w:t>.</w:t>
      </w:r>
    </w:p>
    <w:p w14:paraId="3E28E041" w14:textId="77777777" w:rsidR="00944258" w:rsidRPr="00D6089F" w:rsidRDefault="00944258" w:rsidP="00944258">
      <w:pPr>
        <w:rPr>
          <w:rFonts w:ascii="Palatino Linotype" w:hAnsi="Palatino Linotype"/>
          <w:sz w:val="22"/>
          <w:szCs w:val="22"/>
        </w:rPr>
      </w:pPr>
    </w:p>
    <w:p w14:paraId="412FEE76" w14:textId="77777777" w:rsidR="00944258" w:rsidRPr="00D6089F" w:rsidRDefault="00944258" w:rsidP="00944258">
      <w:pPr>
        <w:rPr>
          <w:rFonts w:ascii="Palatino Linotype" w:hAnsi="Palatino Linotype"/>
          <w:b/>
          <w:sz w:val="22"/>
          <w:szCs w:val="22"/>
        </w:rPr>
      </w:pPr>
      <w:r w:rsidRPr="00D6089F">
        <w:rPr>
          <w:rFonts w:ascii="Palatino Linotype" w:hAnsi="Palatino Linotype"/>
          <w:b/>
          <w:sz w:val="22"/>
          <w:szCs w:val="22"/>
        </w:rPr>
        <w:t>Payables to the Pension Plan</w:t>
      </w:r>
    </w:p>
    <w:p w14:paraId="66DBFE54" w14:textId="77777777" w:rsidR="00944258" w:rsidRPr="00D6089F" w:rsidRDefault="00944258" w:rsidP="00944258">
      <w:pPr>
        <w:rPr>
          <w:rFonts w:ascii="Palatino Linotype" w:hAnsi="Palatino Linotype"/>
          <w:b/>
          <w:sz w:val="22"/>
          <w:szCs w:val="22"/>
        </w:rPr>
      </w:pPr>
    </w:p>
    <w:p w14:paraId="3754D8F1" w14:textId="26A0EB8F" w:rsidR="00C4733F" w:rsidRPr="00C04911" w:rsidRDefault="006B5F65" w:rsidP="00882E3A">
      <w:pPr>
        <w:jc w:val="both"/>
        <w:rPr>
          <w:rFonts w:ascii="Palatino Linotype" w:hAnsi="Palatino Linotype"/>
          <w:sz w:val="22"/>
          <w:szCs w:val="22"/>
        </w:rPr>
      </w:pPr>
      <w:r w:rsidRPr="005A42B1">
        <w:rPr>
          <w:rFonts w:ascii="Palatino Linotype" w:hAnsi="Palatino Linotype"/>
          <w:sz w:val="22"/>
          <w:szCs w:val="22"/>
          <w:highlight w:val="yellow"/>
        </w:rPr>
        <w:t>[If the Agency reported payables to LASERS, it should disclose information required by paragraph 122 of GASB 68 – Agency’s responsibility to calculate and complete disclosure]</w:t>
      </w:r>
      <w:r w:rsidR="00944258" w:rsidRPr="005A42B1">
        <w:rPr>
          <w:rFonts w:ascii="Palatino Linotype" w:hAnsi="Palatino Linotype"/>
          <w:highlight w:val="yellow"/>
        </w:rPr>
        <w:t>.</w:t>
      </w:r>
      <w:bookmarkStart w:id="10" w:name="RANGE!A1:C6"/>
      <w:bookmarkEnd w:id="10"/>
    </w:p>
    <w:sectPr w:rsidR="00C4733F" w:rsidRPr="00C04911" w:rsidSect="004C76E0">
      <w:footerReference w:type="default" r:id="rId21"/>
      <w:headerReference w:type="first" r:id="rId22"/>
      <w:footerReference w:type="first" r:id="rId23"/>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F641" w14:textId="77777777" w:rsidR="00F908CD" w:rsidRDefault="00F908CD" w:rsidP="00112994">
      <w:r>
        <w:separator/>
      </w:r>
    </w:p>
  </w:endnote>
  <w:endnote w:type="continuationSeparator" w:id="0">
    <w:p w14:paraId="46ADB23A" w14:textId="77777777" w:rsidR="00F908CD" w:rsidRDefault="00F908CD" w:rsidP="0011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231825"/>
      <w:docPartObj>
        <w:docPartGallery w:val="Page Numbers (Bottom of Page)"/>
        <w:docPartUnique/>
      </w:docPartObj>
    </w:sdtPr>
    <w:sdtEndPr>
      <w:rPr>
        <w:noProof/>
      </w:rPr>
    </w:sdtEndPr>
    <w:sdtContent>
      <w:p w14:paraId="7F435029" w14:textId="476ACB00" w:rsidR="006A113E" w:rsidRDefault="006A113E">
        <w:pPr>
          <w:pStyle w:val="Footer"/>
          <w:jc w:val="center"/>
        </w:pPr>
        <w:r>
          <w:fldChar w:fldCharType="begin"/>
        </w:r>
        <w:r>
          <w:instrText xml:space="preserve"> PAGE   \* MERGEFORMAT </w:instrText>
        </w:r>
        <w:r>
          <w:fldChar w:fldCharType="separate"/>
        </w:r>
        <w:r w:rsidR="00BE55F2">
          <w:rPr>
            <w:noProof/>
          </w:rPr>
          <w:t>11</w:t>
        </w:r>
        <w:r>
          <w:rPr>
            <w:noProof/>
          </w:rPr>
          <w:fldChar w:fldCharType="end"/>
        </w:r>
      </w:p>
    </w:sdtContent>
  </w:sdt>
  <w:p w14:paraId="60F8E9BA" w14:textId="77777777" w:rsidR="00702823" w:rsidRDefault="00702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05C8" w14:textId="2EAE94BC" w:rsidR="00702823" w:rsidRDefault="00702823">
    <w:pPr>
      <w:pStyle w:val="Footer"/>
      <w:jc w:val="center"/>
    </w:pPr>
  </w:p>
  <w:p w14:paraId="41419D64" w14:textId="77777777" w:rsidR="00702823" w:rsidRDefault="00702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D0DF" w14:textId="77777777" w:rsidR="00F908CD" w:rsidRDefault="00F908CD" w:rsidP="00112994">
      <w:r>
        <w:separator/>
      </w:r>
    </w:p>
  </w:footnote>
  <w:footnote w:type="continuationSeparator" w:id="0">
    <w:p w14:paraId="481BD3C0" w14:textId="77777777" w:rsidR="00F908CD" w:rsidRDefault="00F908CD" w:rsidP="00112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5EDDE" w14:textId="77777777" w:rsidR="00702823" w:rsidRDefault="00702823" w:rsidP="00D6089F">
    <w:pPr>
      <w:pStyle w:val="Header"/>
      <w:ind w:left="100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B29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B58E3"/>
    <w:multiLevelType w:val="hybridMultilevel"/>
    <w:tmpl w:val="780AABFC"/>
    <w:lvl w:ilvl="0" w:tplc="0C7068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E205C"/>
    <w:multiLevelType w:val="hybridMultilevel"/>
    <w:tmpl w:val="68C02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C30422"/>
    <w:multiLevelType w:val="hybridMultilevel"/>
    <w:tmpl w:val="80E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C519F"/>
    <w:multiLevelType w:val="hybridMultilevel"/>
    <w:tmpl w:val="727EB9DE"/>
    <w:lvl w:ilvl="0" w:tplc="5E2E699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1A2266E"/>
    <w:multiLevelType w:val="hybridMultilevel"/>
    <w:tmpl w:val="1652BB04"/>
    <w:lvl w:ilvl="0" w:tplc="A43E4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B4BB2"/>
    <w:multiLevelType w:val="hybridMultilevel"/>
    <w:tmpl w:val="83D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DC355EB"/>
    <w:multiLevelType w:val="multilevel"/>
    <w:tmpl w:val="B2EC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62273"/>
    <w:multiLevelType w:val="hybridMultilevel"/>
    <w:tmpl w:val="F06E2F30"/>
    <w:lvl w:ilvl="0" w:tplc="B10456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F31F0"/>
    <w:multiLevelType w:val="hybridMultilevel"/>
    <w:tmpl w:val="E66202A4"/>
    <w:lvl w:ilvl="0" w:tplc="04090015">
      <w:start w:val="1"/>
      <w:numFmt w:val="upperLetter"/>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9405370"/>
    <w:multiLevelType w:val="hybridMultilevel"/>
    <w:tmpl w:val="8ACA0752"/>
    <w:lvl w:ilvl="0" w:tplc="04090001">
      <w:start w:val="1"/>
      <w:numFmt w:val="bullet"/>
      <w:lvlText w:val=""/>
      <w:lvlJc w:val="left"/>
      <w:pPr>
        <w:ind w:left="72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050E8"/>
    <w:multiLevelType w:val="hybridMultilevel"/>
    <w:tmpl w:val="CDF245B8"/>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5" w15:restartNumberingAfterBreak="0">
    <w:nsid w:val="4F250F6B"/>
    <w:multiLevelType w:val="multilevel"/>
    <w:tmpl w:val="477C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AC5DFB"/>
    <w:multiLevelType w:val="hybridMultilevel"/>
    <w:tmpl w:val="837A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3"/>
  </w:num>
  <w:num w:numId="4">
    <w:abstractNumId w:val="5"/>
  </w:num>
  <w:num w:numId="5">
    <w:abstractNumId w:val="10"/>
  </w:num>
  <w:num w:numId="6">
    <w:abstractNumId w:val="1"/>
  </w:num>
  <w:num w:numId="7">
    <w:abstractNumId w:val="6"/>
  </w:num>
  <w:num w:numId="8">
    <w:abstractNumId w:val="15"/>
  </w:num>
  <w:num w:numId="9">
    <w:abstractNumId w:val="9"/>
  </w:num>
  <w:num w:numId="10">
    <w:abstractNumId w:val="12"/>
  </w:num>
  <w:num w:numId="11">
    <w:abstractNumId w:val="16"/>
  </w:num>
  <w:num w:numId="12">
    <w:abstractNumId w:val="7"/>
  </w:num>
  <w:num w:numId="13">
    <w:abstractNumId w:val="2"/>
  </w:num>
  <w:num w:numId="14">
    <w:abstractNumId w:val="8"/>
  </w:num>
  <w:num w:numId="15">
    <w:abstractNumId w:val="14"/>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3F"/>
    <w:rsid w:val="0000344B"/>
    <w:rsid w:val="00006CA3"/>
    <w:rsid w:val="000071EA"/>
    <w:rsid w:val="00007514"/>
    <w:rsid w:val="00011E5F"/>
    <w:rsid w:val="00013D5C"/>
    <w:rsid w:val="0001507A"/>
    <w:rsid w:val="00021018"/>
    <w:rsid w:val="00033CDA"/>
    <w:rsid w:val="000351B6"/>
    <w:rsid w:val="00040D53"/>
    <w:rsid w:val="000536D4"/>
    <w:rsid w:val="00061F60"/>
    <w:rsid w:val="00067CA5"/>
    <w:rsid w:val="000714DD"/>
    <w:rsid w:val="00073D3E"/>
    <w:rsid w:val="00092052"/>
    <w:rsid w:val="000932E5"/>
    <w:rsid w:val="00093460"/>
    <w:rsid w:val="000971AE"/>
    <w:rsid w:val="000A09F7"/>
    <w:rsid w:val="000A4DB2"/>
    <w:rsid w:val="000C12FF"/>
    <w:rsid w:val="000C45E9"/>
    <w:rsid w:val="000C5ADD"/>
    <w:rsid w:val="000C67A0"/>
    <w:rsid w:val="000E03AD"/>
    <w:rsid w:val="000E0D3E"/>
    <w:rsid w:val="000F1057"/>
    <w:rsid w:val="001051ED"/>
    <w:rsid w:val="00106D31"/>
    <w:rsid w:val="0011220A"/>
    <w:rsid w:val="00112994"/>
    <w:rsid w:val="00113872"/>
    <w:rsid w:val="0011674B"/>
    <w:rsid w:val="001216BA"/>
    <w:rsid w:val="00122B38"/>
    <w:rsid w:val="00123A52"/>
    <w:rsid w:val="00136895"/>
    <w:rsid w:val="00142364"/>
    <w:rsid w:val="001472E7"/>
    <w:rsid w:val="0015627A"/>
    <w:rsid w:val="00157A11"/>
    <w:rsid w:val="00164872"/>
    <w:rsid w:val="00172860"/>
    <w:rsid w:val="0019702F"/>
    <w:rsid w:val="001A05B1"/>
    <w:rsid w:val="001A0B7E"/>
    <w:rsid w:val="001A19FB"/>
    <w:rsid w:val="001B0828"/>
    <w:rsid w:val="001B1CAF"/>
    <w:rsid w:val="001C09C7"/>
    <w:rsid w:val="001C77EA"/>
    <w:rsid w:val="001D1077"/>
    <w:rsid w:val="001D5378"/>
    <w:rsid w:val="001E32AD"/>
    <w:rsid w:val="001E58C3"/>
    <w:rsid w:val="001E7A91"/>
    <w:rsid w:val="00202C2F"/>
    <w:rsid w:val="00220459"/>
    <w:rsid w:val="00222752"/>
    <w:rsid w:val="00226D73"/>
    <w:rsid w:val="002334DA"/>
    <w:rsid w:val="00254807"/>
    <w:rsid w:val="00261470"/>
    <w:rsid w:val="0026279D"/>
    <w:rsid w:val="00267B19"/>
    <w:rsid w:val="00270B82"/>
    <w:rsid w:val="002949E9"/>
    <w:rsid w:val="002A09AD"/>
    <w:rsid w:val="002A7A26"/>
    <w:rsid w:val="002B18D9"/>
    <w:rsid w:val="002C2AA9"/>
    <w:rsid w:val="00303F45"/>
    <w:rsid w:val="00313AA0"/>
    <w:rsid w:val="00317226"/>
    <w:rsid w:val="003350AB"/>
    <w:rsid w:val="00336B2D"/>
    <w:rsid w:val="00340D42"/>
    <w:rsid w:val="003619D1"/>
    <w:rsid w:val="003625C3"/>
    <w:rsid w:val="00367652"/>
    <w:rsid w:val="0037190F"/>
    <w:rsid w:val="003847A5"/>
    <w:rsid w:val="00391560"/>
    <w:rsid w:val="003926C1"/>
    <w:rsid w:val="0039712F"/>
    <w:rsid w:val="003A12D4"/>
    <w:rsid w:val="003A6AB8"/>
    <w:rsid w:val="003A7A4D"/>
    <w:rsid w:val="003B2375"/>
    <w:rsid w:val="003D0253"/>
    <w:rsid w:val="003D7054"/>
    <w:rsid w:val="003F5258"/>
    <w:rsid w:val="00405B3C"/>
    <w:rsid w:val="00427EA6"/>
    <w:rsid w:val="00430302"/>
    <w:rsid w:val="00446436"/>
    <w:rsid w:val="0044678F"/>
    <w:rsid w:val="00453D60"/>
    <w:rsid w:val="0045791F"/>
    <w:rsid w:val="00460F05"/>
    <w:rsid w:val="00460FE4"/>
    <w:rsid w:val="00465EDC"/>
    <w:rsid w:val="004724F6"/>
    <w:rsid w:val="004814F0"/>
    <w:rsid w:val="00481D5D"/>
    <w:rsid w:val="004836BE"/>
    <w:rsid w:val="0048407F"/>
    <w:rsid w:val="00495319"/>
    <w:rsid w:val="004A2D77"/>
    <w:rsid w:val="004A6D19"/>
    <w:rsid w:val="004C0F5A"/>
    <w:rsid w:val="004C2633"/>
    <w:rsid w:val="004C76E0"/>
    <w:rsid w:val="004D0CF2"/>
    <w:rsid w:val="004D340D"/>
    <w:rsid w:val="004E7D64"/>
    <w:rsid w:val="004F049A"/>
    <w:rsid w:val="00504B86"/>
    <w:rsid w:val="005051C9"/>
    <w:rsid w:val="00512F56"/>
    <w:rsid w:val="005347DA"/>
    <w:rsid w:val="00536BF6"/>
    <w:rsid w:val="00546E91"/>
    <w:rsid w:val="005609F1"/>
    <w:rsid w:val="005679DC"/>
    <w:rsid w:val="00571676"/>
    <w:rsid w:val="005725BC"/>
    <w:rsid w:val="0057784E"/>
    <w:rsid w:val="005828C3"/>
    <w:rsid w:val="00586BA0"/>
    <w:rsid w:val="0059133B"/>
    <w:rsid w:val="005A294D"/>
    <w:rsid w:val="005A42B1"/>
    <w:rsid w:val="005A7ADC"/>
    <w:rsid w:val="005B44A8"/>
    <w:rsid w:val="005B7922"/>
    <w:rsid w:val="005C20B7"/>
    <w:rsid w:val="005C68CB"/>
    <w:rsid w:val="005D734F"/>
    <w:rsid w:val="005E1D47"/>
    <w:rsid w:val="005F4BF9"/>
    <w:rsid w:val="00610E48"/>
    <w:rsid w:val="00621095"/>
    <w:rsid w:val="00624E93"/>
    <w:rsid w:val="00635F87"/>
    <w:rsid w:val="00637BE8"/>
    <w:rsid w:val="00644F68"/>
    <w:rsid w:val="00646CE1"/>
    <w:rsid w:val="0068012E"/>
    <w:rsid w:val="006819A9"/>
    <w:rsid w:val="00691228"/>
    <w:rsid w:val="006A113E"/>
    <w:rsid w:val="006B55FB"/>
    <w:rsid w:val="006B5F65"/>
    <w:rsid w:val="006B7D10"/>
    <w:rsid w:val="006C50CE"/>
    <w:rsid w:val="006D1395"/>
    <w:rsid w:val="006E30A8"/>
    <w:rsid w:val="006E7401"/>
    <w:rsid w:val="006F4B1D"/>
    <w:rsid w:val="006F5992"/>
    <w:rsid w:val="00702823"/>
    <w:rsid w:val="00703BBF"/>
    <w:rsid w:val="00724E66"/>
    <w:rsid w:val="0073302A"/>
    <w:rsid w:val="007362E4"/>
    <w:rsid w:val="00736F9A"/>
    <w:rsid w:val="007505CB"/>
    <w:rsid w:val="007547DC"/>
    <w:rsid w:val="00783CE7"/>
    <w:rsid w:val="0078423F"/>
    <w:rsid w:val="00792A7D"/>
    <w:rsid w:val="007A73ED"/>
    <w:rsid w:val="007A7A39"/>
    <w:rsid w:val="007B0183"/>
    <w:rsid w:val="007B12AD"/>
    <w:rsid w:val="007C66FB"/>
    <w:rsid w:val="007D5ACC"/>
    <w:rsid w:val="007F1748"/>
    <w:rsid w:val="007F1937"/>
    <w:rsid w:val="007F263E"/>
    <w:rsid w:val="007F4361"/>
    <w:rsid w:val="007F59D4"/>
    <w:rsid w:val="008020F9"/>
    <w:rsid w:val="008047CF"/>
    <w:rsid w:val="00815B3C"/>
    <w:rsid w:val="008162FB"/>
    <w:rsid w:val="00830536"/>
    <w:rsid w:val="008357D7"/>
    <w:rsid w:val="0084497B"/>
    <w:rsid w:val="00846940"/>
    <w:rsid w:val="00851B93"/>
    <w:rsid w:val="008603E6"/>
    <w:rsid w:val="00872CC8"/>
    <w:rsid w:val="0088132C"/>
    <w:rsid w:val="00882E3A"/>
    <w:rsid w:val="00883B25"/>
    <w:rsid w:val="008A3974"/>
    <w:rsid w:val="008B44B8"/>
    <w:rsid w:val="008C348B"/>
    <w:rsid w:val="008D1E74"/>
    <w:rsid w:val="008D3928"/>
    <w:rsid w:val="008D52DD"/>
    <w:rsid w:val="008D658E"/>
    <w:rsid w:val="008D6F71"/>
    <w:rsid w:val="008E44DA"/>
    <w:rsid w:val="008F3019"/>
    <w:rsid w:val="008F68CD"/>
    <w:rsid w:val="00915B61"/>
    <w:rsid w:val="00930D35"/>
    <w:rsid w:val="00932992"/>
    <w:rsid w:val="00932B2E"/>
    <w:rsid w:val="00933C63"/>
    <w:rsid w:val="00934F34"/>
    <w:rsid w:val="00943E33"/>
    <w:rsid w:val="00944258"/>
    <w:rsid w:val="00962C48"/>
    <w:rsid w:val="00965A98"/>
    <w:rsid w:val="009768FA"/>
    <w:rsid w:val="00986AD2"/>
    <w:rsid w:val="00987061"/>
    <w:rsid w:val="00993ACC"/>
    <w:rsid w:val="00994916"/>
    <w:rsid w:val="009B1D6D"/>
    <w:rsid w:val="009B3C37"/>
    <w:rsid w:val="009B6890"/>
    <w:rsid w:val="009C36EC"/>
    <w:rsid w:val="009D6E9C"/>
    <w:rsid w:val="009E0B43"/>
    <w:rsid w:val="009F7467"/>
    <w:rsid w:val="00A01F9B"/>
    <w:rsid w:val="00A04E7F"/>
    <w:rsid w:val="00A12B9E"/>
    <w:rsid w:val="00A16D50"/>
    <w:rsid w:val="00A252B1"/>
    <w:rsid w:val="00A43B25"/>
    <w:rsid w:val="00A45129"/>
    <w:rsid w:val="00A4686A"/>
    <w:rsid w:val="00A52119"/>
    <w:rsid w:val="00A56EFC"/>
    <w:rsid w:val="00A61F50"/>
    <w:rsid w:val="00AA111B"/>
    <w:rsid w:val="00AB3E4E"/>
    <w:rsid w:val="00AC6915"/>
    <w:rsid w:val="00AD42DC"/>
    <w:rsid w:val="00AD4F5E"/>
    <w:rsid w:val="00AD778E"/>
    <w:rsid w:val="00AF581E"/>
    <w:rsid w:val="00AF7DE3"/>
    <w:rsid w:val="00B0045D"/>
    <w:rsid w:val="00B0396F"/>
    <w:rsid w:val="00B14A2B"/>
    <w:rsid w:val="00B23B1A"/>
    <w:rsid w:val="00B52E81"/>
    <w:rsid w:val="00B54A57"/>
    <w:rsid w:val="00B74906"/>
    <w:rsid w:val="00B7665F"/>
    <w:rsid w:val="00B825F6"/>
    <w:rsid w:val="00B83834"/>
    <w:rsid w:val="00B85A64"/>
    <w:rsid w:val="00B94BED"/>
    <w:rsid w:val="00BA0677"/>
    <w:rsid w:val="00BA295A"/>
    <w:rsid w:val="00BB6711"/>
    <w:rsid w:val="00BC2912"/>
    <w:rsid w:val="00BD702F"/>
    <w:rsid w:val="00BE1245"/>
    <w:rsid w:val="00BE55F2"/>
    <w:rsid w:val="00BF0658"/>
    <w:rsid w:val="00BF6E5E"/>
    <w:rsid w:val="00C01620"/>
    <w:rsid w:val="00C04911"/>
    <w:rsid w:val="00C12A07"/>
    <w:rsid w:val="00C17C07"/>
    <w:rsid w:val="00C27145"/>
    <w:rsid w:val="00C30D70"/>
    <w:rsid w:val="00C32113"/>
    <w:rsid w:val="00C36ABD"/>
    <w:rsid w:val="00C36BA6"/>
    <w:rsid w:val="00C41E1E"/>
    <w:rsid w:val="00C4733F"/>
    <w:rsid w:val="00C56548"/>
    <w:rsid w:val="00C60DBD"/>
    <w:rsid w:val="00C62862"/>
    <w:rsid w:val="00C6385B"/>
    <w:rsid w:val="00C7464C"/>
    <w:rsid w:val="00C930C3"/>
    <w:rsid w:val="00C93D82"/>
    <w:rsid w:val="00C94DC4"/>
    <w:rsid w:val="00CA47DB"/>
    <w:rsid w:val="00CA64BA"/>
    <w:rsid w:val="00CA784F"/>
    <w:rsid w:val="00CB6EE1"/>
    <w:rsid w:val="00CD58B6"/>
    <w:rsid w:val="00CD6A14"/>
    <w:rsid w:val="00CD6FD7"/>
    <w:rsid w:val="00CE7FA6"/>
    <w:rsid w:val="00D01F82"/>
    <w:rsid w:val="00D03633"/>
    <w:rsid w:val="00D04015"/>
    <w:rsid w:val="00D049A0"/>
    <w:rsid w:val="00D076DD"/>
    <w:rsid w:val="00D12354"/>
    <w:rsid w:val="00D16C5C"/>
    <w:rsid w:val="00D23B04"/>
    <w:rsid w:val="00D46247"/>
    <w:rsid w:val="00D52356"/>
    <w:rsid w:val="00D6089F"/>
    <w:rsid w:val="00D658A4"/>
    <w:rsid w:val="00D75D13"/>
    <w:rsid w:val="00D76BAB"/>
    <w:rsid w:val="00D76C2D"/>
    <w:rsid w:val="00D827FD"/>
    <w:rsid w:val="00D87AE3"/>
    <w:rsid w:val="00D90979"/>
    <w:rsid w:val="00D9678C"/>
    <w:rsid w:val="00DB1906"/>
    <w:rsid w:val="00DB36DB"/>
    <w:rsid w:val="00DD3BE0"/>
    <w:rsid w:val="00DE1AD9"/>
    <w:rsid w:val="00DF6B4D"/>
    <w:rsid w:val="00E04265"/>
    <w:rsid w:val="00E061F1"/>
    <w:rsid w:val="00E16F71"/>
    <w:rsid w:val="00E20E8F"/>
    <w:rsid w:val="00E26062"/>
    <w:rsid w:val="00E2755E"/>
    <w:rsid w:val="00E34465"/>
    <w:rsid w:val="00E40652"/>
    <w:rsid w:val="00E40A01"/>
    <w:rsid w:val="00E46A74"/>
    <w:rsid w:val="00E47E41"/>
    <w:rsid w:val="00E52079"/>
    <w:rsid w:val="00E6473C"/>
    <w:rsid w:val="00E66C52"/>
    <w:rsid w:val="00E70780"/>
    <w:rsid w:val="00E847E5"/>
    <w:rsid w:val="00E8787C"/>
    <w:rsid w:val="00E87F83"/>
    <w:rsid w:val="00EB2B13"/>
    <w:rsid w:val="00EB33C0"/>
    <w:rsid w:val="00EB4D1B"/>
    <w:rsid w:val="00EC0955"/>
    <w:rsid w:val="00EC1EB6"/>
    <w:rsid w:val="00EC6C3C"/>
    <w:rsid w:val="00EE5A6C"/>
    <w:rsid w:val="00EF6000"/>
    <w:rsid w:val="00F04C87"/>
    <w:rsid w:val="00F11ED4"/>
    <w:rsid w:val="00F1319E"/>
    <w:rsid w:val="00F26460"/>
    <w:rsid w:val="00F26527"/>
    <w:rsid w:val="00F3618A"/>
    <w:rsid w:val="00F42553"/>
    <w:rsid w:val="00F46318"/>
    <w:rsid w:val="00F513D8"/>
    <w:rsid w:val="00F6656F"/>
    <w:rsid w:val="00F72231"/>
    <w:rsid w:val="00F77811"/>
    <w:rsid w:val="00F81A5C"/>
    <w:rsid w:val="00F84816"/>
    <w:rsid w:val="00F86D73"/>
    <w:rsid w:val="00F908CD"/>
    <w:rsid w:val="00F9193C"/>
    <w:rsid w:val="00F93FD0"/>
    <w:rsid w:val="00FB30C5"/>
    <w:rsid w:val="00FB79EC"/>
    <w:rsid w:val="00FC28FD"/>
    <w:rsid w:val="00FC71A7"/>
    <w:rsid w:val="00FD1382"/>
    <w:rsid w:val="00FD3555"/>
    <w:rsid w:val="00FD551A"/>
    <w:rsid w:val="00FE2C36"/>
    <w:rsid w:val="00FE5329"/>
    <w:rsid w:val="00FE57EE"/>
    <w:rsid w:val="00FE7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15C19047"/>
  <w15:docId w15:val="{4C9F2E98-DB0E-4D57-ADB4-C570DD27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D2D"/>
  </w:style>
  <w:style w:type="paragraph" w:styleId="Heading2">
    <w:name w:val="heading 2"/>
    <w:basedOn w:val="Normal"/>
    <w:link w:val="Heading2Char"/>
    <w:uiPriority w:val="9"/>
    <w:qFormat/>
    <w:rsid w:val="003A7A4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7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64872"/>
    <w:pPr>
      <w:ind w:left="720"/>
      <w:contextualSpacing/>
    </w:pPr>
  </w:style>
  <w:style w:type="paragraph" w:styleId="BalloonText">
    <w:name w:val="Balloon Text"/>
    <w:basedOn w:val="Normal"/>
    <w:link w:val="BalloonTextChar"/>
    <w:rsid w:val="000F1057"/>
    <w:rPr>
      <w:rFonts w:ascii="Tahoma" w:hAnsi="Tahoma" w:cs="Tahoma"/>
      <w:sz w:val="16"/>
      <w:szCs w:val="16"/>
    </w:rPr>
  </w:style>
  <w:style w:type="character" w:customStyle="1" w:styleId="BalloonTextChar">
    <w:name w:val="Balloon Text Char"/>
    <w:basedOn w:val="DefaultParagraphFont"/>
    <w:link w:val="BalloonText"/>
    <w:rsid w:val="000F1057"/>
    <w:rPr>
      <w:rFonts w:ascii="Tahoma" w:hAnsi="Tahoma" w:cs="Tahoma"/>
      <w:sz w:val="16"/>
      <w:szCs w:val="16"/>
    </w:rPr>
  </w:style>
  <w:style w:type="character" w:styleId="CommentReference">
    <w:name w:val="annotation reference"/>
    <w:basedOn w:val="DefaultParagraphFont"/>
    <w:uiPriority w:val="99"/>
    <w:rsid w:val="00D75D13"/>
    <w:rPr>
      <w:sz w:val="16"/>
      <w:szCs w:val="16"/>
    </w:rPr>
  </w:style>
  <w:style w:type="paragraph" w:styleId="CommentText">
    <w:name w:val="annotation text"/>
    <w:basedOn w:val="Normal"/>
    <w:link w:val="CommentTextChar"/>
    <w:uiPriority w:val="99"/>
    <w:rsid w:val="00D75D13"/>
    <w:rPr>
      <w:sz w:val="20"/>
      <w:szCs w:val="20"/>
    </w:rPr>
  </w:style>
  <w:style w:type="character" w:customStyle="1" w:styleId="CommentTextChar">
    <w:name w:val="Comment Text Char"/>
    <w:basedOn w:val="DefaultParagraphFont"/>
    <w:link w:val="CommentText"/>
    <w:uiPriority w:val="99"/>
    <w:rsid w:val="00D75D13"/>
    <w:rPr>
      <w:sz w:val="20"/>
      <w:szCs w:val="20"/>
    </w:rPr>
  </w:style>
  <w:style w:type="paragraph" w:styleId="CommentSubject">
    <w:name w:val="annotation subject"/>
    <w:basedOn w:val="CommentText"/>
    <w:next w:val="CommentText"/>
    <w:link w:val="CommentSubjectChar"/>
    <w:rsid w:val="00D75D13"/>
    <w:rPr>
      <w:b/>
      <w:bCs/>
    </w:rPr>
  </w:style>
  <w:style w:type="character" w:customStyle="1" w:styleId="CommentSubjectChar">
    <w:name w:val="Comment Subject Char"/>
    <w:basedOn w:val="CommentTextChar"/>
    <w:link w:val="CommentSubject"/>
    <w:rsid w:val="00D75D13"/>
    <w:rPr>
      <w:b/>
      <w:bCs/>
      <w:sz w:val="20"/>
      <w:szCs w:val="20"/>
    </w:rPr>
  </w:style>
  <w:style w:type="character" w:styleId="Hyperlink">
    <w:name w:val="Hyperlink"/>
    <w:basedOn w:val="DefaultParagraphFont"/>
    <w:rsid w:val="0084497B"/>
    <w:rPr>
      <w:color w:val="0000FF" w:themeColor="hyperlink"/>
      <w:u w:val="single"/>
    </w:rPr>
  </w:style>
  <w:style w:type="paragraph" w:styleId="Revision">
    <w:name w:val="Revision"/>
    <w:hidden/>
    <w:rsid w:val="007B0183"/>
  </w:style>
  <w:style w:type="table" w:customStyle="1" w:styleId="TableGrid1">
    <w:name w:val="Table Grid1"/>
    <w:basedOn w:val="TableNormal"/>
    <w:next w:val="TableGrid"/>
    <w:uiPriority w:val="59"/>
    <w:rsid w:val="009442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4258"/>
    <w:pPr>
      <w:tabs>
        <w:tab w:val="center" w:pos="4680"/>
        <w:tab w:val="right" w:pos="9360"/>
      </w:tabs>
    </w:pPr>
    <w:rPr>
      <w:sz w:val="22"/>
      <w:szCs w:val="22"/>
    </w:rPr>
  </w:style>
  <w:style w:type="character" w:customStyle="1" w:styleId="HeaderChar">
    <w:name w:val="Header Char"/>
    <w:basedOn w:val="DefaultParagraphFont"/>
    <w:link w:val="Header"/>
    <w:uiPriority w:val="99"/>
    <w:rsid w:val="00944258"/>
    <w:rPr>
      <w:sz w:val="22"/>
      <w:szCs w:val="22"/>
    </w:rPr>
  </w:style>
  <w:style w:type="paragraph" w:styleId="Footer">
    <w:name w:val="footer"/>
    <w:basedOn w:val="Normal"/>
    <w:link w:val="FooterChar"/>
    <w:uiPriority w:val="99"/>
    <w:rsid w:val="00112994"/>
    <w:pPr>
      <w:tabs>
        <w:tab w:val="center" w:pos="4680"/>
        <w:tab w:val="right" w:pos="9360"/>
      </w:tabs>
    </w:pPr>
  </w:style>
  <w:style w:type="character" w:customStyle="1" w:styleId="FooterChar">
    <w:name w:val="Footer Char"/>
    <w:basedOn w:val="DefaultParagraphFont"/>
    <w:link w:val="Footer"/>
    <w:uiPriority w:val="99"/>
    <w:rsid w:val="00112994"/>
  </w:style>
  <w:style w:type="character" w:customStyle="1" w:styleId="Heading2Char">
    <w:name w:val="Heading 2 Char"/>
    <w:basedOn w:val="DefaultParagraphFont"/>
    <w:link w:val="Heading2"/>
    <w:uiPriority w:val="9"/>
    <w:rsid w:val="003A7A4D"/>
    <w:rPr>
      <w:rFonts w:ascii="Times New Roman" w:eastAsia="Times New Roman" w:hAnsi="Times New Roman" w:cs="Times New Roman"/>
      <w:b/>
      <w:bCs/>
      <w:sz w:val="36"/>
      <w:szCs w:val="36"/>
    </w:rPr>
  </w:style>
  <w:style w:type="character" w:styleId="FollowedHyperlink">
    <w:name w:val="FollowedHyperlink"/>
    <w:basedOn w:val="DefaultParagraphFont"/>
    <w:rsid w:val="003A12D4"/>
    <w:rPr>
      <w:color w:val="800080" w:themeColor="followedHyperlink"/>
      <w:u w:val="single"/>
    </w:rPr>
  </w:style>
  <w:style w:type="paragraph" w:styleId="ListBullet">
    <w:name w:val="List Bullet"/>
    <w:basedOn w:val="Normal"/>
    <w:rsid w:val="0037190F"/>
    <w:pPr>
      <w:numPr>
        <w:numId w:val="17"/>
      </w:numP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61">
      <w:bodyDiv w:val="1"/>
      <w:marLeft w:val="0"/>
      <w:marRight w:val="0"/>
      <w:marTop w:val="0"/>
      <w:marBottom w:val="0"/>
      <w:divBdr>
        <w:top w:val="none" w:sz="0" w:space="0" w:color="auto"/>
        <w:left w:val="none" w:sz="0" w:space="0" w:color="auto"/>
        <w:bottom w:val="none" w:sz="0" w:space="0" w:color="auto"/>
        <w:right w:val="none" w:sz="0" w:space="0" w:color="auto"/>
      </w:divBdr>
    </w:div>
    <w:div w:id="2561689">
      <w:bodyDiv w:val="1"/>
      <w:marLeft w:val="0"/>
      <w:marRight w:val="0"/>
      <w:marTop w:val="0"/>
      <w:marBottom w:val="0"/>
      <w:divBdr>
        <w:top w:val="none" w:sz="0" w:space="0" w:color="auto"/>
        <w:left w:val="none" w:sz="0" w:space="0" w:color="auto"/>
        <w:bottom w:val="none" w:sz="0" w:space="0" w:color="auto"/>
        <w:right w:val="none" w:sz="0" w:space="0" w:color="auto"/>
      </w:divBdr>
    </w:div>
    <w:div w:id="43455949">
      <w:bodyDiv w:val="1"/>
      <w:marLeft w:val="0"/>
      <w:marRight w:val="0"/>
      <w:marTop w:val="0"/>
      <w:marBottom w:val="0"/>
      <w:divBdr>
        <w:top w:val="none" w:sz="0" w:space="0" w:color="auto"/>
        <w:left w:val="none" w:sz="0" w:space="0" w:color="auto"/>
        <w:bottom w:val="none" w:sz="0" w:space="0" w:color="auto"/>
        <w:right w:val="none" w:sz="0" w:space="0" w:color="auto"/>
      </w:divBdr>
    </w:div>
    <w:div w:id="74784343">
      <w:bodyDiv w:val="1"/>
      <w:marLeft w:val="0"/>
      <w:marRight w:val="0"/>
      <w:marTop w:val="0"/>
      <w:marBottom w:val="0"/>
      <w:divBdr>
        <w:top w:val="none" w:sz="0" w:space="0" w:color="auto"/>
        <w:left w:val="none" w:sz="0" w:space="0" w:color="auto"/>
        <w:bottom w:val="none" w:sz="0" w:space="0" w:color="auto"/>
        <w:right w:val="none" w:sz="0" w:space="0" w:color="auto"/>
      </w:divBdr>
    </w:div>
    <w:div w:id="78213459">
      <w:bodyDiv w:val="1"/>
      <w:marLeft w:val="0"/>
      <w:marRight w:val="0"/>
      <w:marTop w:val="0"/>
      <w:marBottom w:val="0"/>
      <w:divBdr>
        <w:top w:val="none" w:sz="0" w:space="0" w:color="auto"/>
        <w:left w:val="none" w:sz="0" w:space="0" w:color="auto"/>
        <w:bottom w:val="none" w:sz="0" w:space="0" w:color="auto"/>
        <w:right w:val="none" w:sz="0" w:space="0" w:color="auto"/>
      </w:divBdr>
    </w:div>
    <w:div w:id="103964724">
      <w:bodyDiv w:val="1"/>
      <w:marLeft w:val="0"/>
      <w:marRight w:val="0"/>
      <w:marTop w:val="0"/>
      <w:marBottom w:val="0"/>
      <w:divBdr>
        <w:top w:val="none" w:sz="0" w:space="0" w:color="auto"/>
        <w:left w:val="none" w:sz="0" w:space="0" w:color="auto"/>
        <w:bottom w:val="none" w:sz="0" w:space="0" w:color="auto"/>
        <w:right w:val="none" w:sz="0" w:space="0" w:color="auto"/>
      </w:divBdr>
      <w:divsChild>
        <w:div w:id="1366754888">
          <w:marLeft w:val="0"/>
          <w:marRight w:val="0"/>
          <w:marTop w:val="0"/>
          <w:marBottom w:val="0"/>
          <w:divBdr>
            <w:top w:val="none" w:sz="0" w:space="0" w:color="auto"/>
            <w:left w:val="none" w:sz="0" w:space="0" w:color="auto"/>
            <w:bottom w:val="none" w:sz="0" w:space="0" w:color="auto"/>
            <w:right w:val="none" w:sz="0" w:space="0" w:color="auto"/>
          </w:divBdr>
          <w:divsChild>
            <w:div w:id="2111928437">
              <w:marLeft w:val="0"/>
              <w:marRight w:val="0"/>
              <w:marTop w:val="0"/>
              <w:marBottom w:val="0"/>
              <w:divBdr>
                <w:top w:val="none" w:sz="0" w:space="0" w:color="auto"/>
                <w:left w:val="none" w:sz="0" w:space="0" w:color="auto"/>
                <w:bottom w:val="none" w:sz="0" w:space="0" w:color="auto"/>
                <w:right w:val="none" w:sz="0" w:space="0" w:color="auto"/>
              </w:divBdr>
              <w:divsChild>
                <w:div w:id="1536498573">
                  <w:marLeft w:val="0"/>
                  <w:marRight w:val="0"/>
                  <w:marTop w:val="0"/>
                  <w:marBottom w:val="0"/>
                  <w:divBdr>
                    <w:top w:val="none" w:sz="0" w:space="0" w:color="auto"/>
                    <w:left w:val="none" w:sz="0" w:space="0" w:color="auto"/>
                    <w:bottom w:val="none" w:sz="0" w:space="0" w:color="auto"/>
                    <w:right w:val="none" w:sz="0" w:space="0" w:color="auto"/>
                  </w:divBdr>
                  <w:divsChild>
                    <w:div w:id="1697538681">
                      <w:marLeft w:val="1"/>
                      <w:marRight w:val="1"/>
                      <w:marTop w:val="1"/>
                      <w:marBottom w:val="1"/>
                      <w:divBdr>
                        <w:top w:val="none" w:sz="0" w:space="0" w:color="auto"/>
                        <w:left w:val="none" w:sz="0" w:space="0" w:color="auto"/>
                        <w:bottom w:val="none" w:sz="0" w:space="0" w:color="auto"/>
                        <w:right w:val="none" w:sz="0" w:space="0" w:color="auto"/>
                      </w:divBdr>
                      <w:divsChild>
                        <w:div w:id="70272011">
                          <w:marLeft w:val="1"/>
                          <w:marRight w:val="1"/>
                          <w:marTop w:val="1"/>
                          <w:marBottom w:val="1"/>
                          <w:divBdr>
                            <w:top w:val="none" w:sz="0" w:space="0" w:color="auto"/>
                            <w:left w:val="none" w:sz="0" w:space="0" w:color="auto"/>
                            <w:bottom w:val="none" w:sz="0" w:space="0" w:color="auto"/>
                            <w:right w:val="none" w:sz="0" w:space="0" w:color="auto"/>
                          </w:divBdr>
                          <w:divsChild>
                            <w:div w:id="44335474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40827">
      <w:bodyDiv w:val="1"/>
      <w:marLeft w:val="0"/>
      <w:marRight w:val="0"/>
      <w:marTop w:val="0"/>
      <w:marBottom w:val="0"/>
      <w:divBdr>
        <w:top w:val="none" w:sz="0" w:space="0" w:color="auto"/>
        <w:left w:val="none" w:sz="0" w:space="0" w:color="auto"/>
        <w:bottom w:val="none" w:sz="0" w:space="0" w:color="auto"/>
        <w:right w:val="none" w:sz="0" w:space="0" w:color="auto"/>
      </w:divBdr>
    </w:div>
    <w:div w:id="156507870">
      <w:bodyDiv w:val="1"/>
      <w:marLeft w:val="0"/>
      <w:marRight w:val="0"/>
      <w:marTop w:val="0"/>
      <w:marBottom w:val="0"/>
      <w:divBdr>
        <w:top w:val="none" w:sz="0" w:space="0" w:color="auto"/>
        <w:left w:val="none" w:sz="0" w:space="0" w:color="auto"/>
        <w:bottom w:val="none" w:sz="0" w:space="0" w:color="auto"/>
        <w:right w:val="none" w:sz="0" w:space="0" w:color="auto"/>
      </w:divBdr>
    </w:div>
    <w:div w:id="345058045">
      <w:bodyDiv w:val="1"/>
      <w:marLeft w:val="0"/>
      <w:marRight w:val="0"/>
      <w:marTop w:val="0"/>
      <w:marBottom w:val="0"/>
      <w:divBdr>
        <w:top w:val="none" w:sz="0" w:space="0" w:color="auto"/>
        <w:left w:val="none" w:sz="0" w:space="0" w:color="auto"/>
        <w:bottom w:val="none" w:sz="0" w:space="0" w:color="auto"/>
        <w:right w:val="none" w:sz="0" w:space="0" w:color="auto"/>
      </w:divBdr>
    </w:div>
    <w:div w:id="405733520">
      <w:bodyDiv w:val="1"/>
      <w:marLeft w:val="0"/>
      <w:marRight w:val="0"/>
      <w:marTop w:val="0"/>
      <w:marBottom w:val="0"/>
      <w:divBdr>
        <w:top w:val="none" w:sz="0" w:space="0" w:color="auto"/>
        <w:left w:val="none" w:sz="0" w:space="0" w:color="auto"/>
        <w:bottom w:val="none" w:sz="0" w:space="0" w:color="auto"/>
        <w:right w:val="none" w:sz="0" w:space="0" w:color="auto"/>
      </w:divBdr>
    </w:div>
    <w:div w:id="419762361">
      <w:bodyDiv w:val="1"/>
      <w:marLeft w:val="0"/>
      <w:marRight w:val="0"/>
      <w:marTop w:val="0"/>
      <w:marBottom w:val="0"/>
      <w:divBdr>
        <w:top w:val="none" w:sz="0" w:space="0" w:color="auto"/>
        <w:left w:val="none" w:sz="0" w:space="0" w:color="auto"/>
        <w:bottom w:val="none" w:sz="0" w:space="0" w:color="auto"/>
        <w:right w:val="none" w:sz="0" w:space="0" w:color="auto"/>
      </w:divBdr>
    </w:div>
    <w:div w:id="421293393">
      <w:bodyDiv w:val="1"/>
      <w:marLeft w:val="0"/>
      <w:marRight w:val="0"/>
      <w:marTop w:val="0"/>
      <w:marBottom w:val="0"/>
      <w:divBdr>
        <w:top w:val="none" w:sz="0" w:space="0" w:color="auto"/>
        <w:left w:val="none" w:sz="0" w:space="0" w:color="auto"/>
        <w:bottom w:val="none" w:sz="0" w:space="0" w:color="auto"/>
        <w:right w:val="none" w:sz="0" w:space="0" w:color="auto"/>
      </w:divBdr>
    </w:div>
    <w:div w:id="439108699">
      <w:bodyDiv w:val="1"/>
      <w:marLeft w:val="0"/>
      <w:marRight w:val="0"/>
      <w:marTop w:val="0"/>
      <w:marBottom w:val="0"/>
      <w:divBdr>
        <w:top w:val="none" w:sz="0" w:space="0" w:color="auto"/>
        <w:left w:val="none" w:sz="0" w:space="0" w:color="auto"/>
        <w:bottom w:val="none" w:sz="0" w:space="0" w:color="auto"/>
        <w:right w:val="none" w:sz="0" w:space="0" w:color="auto"/>
      </w:divBdr>
    </w:div>
    <w:div w:id="468670966">
      <w:bodyDiv w:val="1"/>
      <w:marLeft w:val="0"/>
      <w:marRight w:val="0"/>
      <w:marTop w:val="0"/>
      <w:marBottom w:val="0"/>
      <w:divBdr>
        <w:top w:val="none" w:sz="0" w:space="0" w:color="auto"/>
        <w:left w:val="none" w:sz="0" w:space="0" w:color="auto"/>
        <w:bottom w:val="none" w:sz="0" w:space="0" w:color="auto"/>
        <w:right w:val="none" w:sz="0" w:space="0" w:color="auto"/>
      </w:divBdr>
    </w:div>
    <w:div w:id="471563741">
      <w:bodyDiv w:val="1"/>
      <w:marLeft w:val="0"/>
      <w:marRight w:val="0"/>
      <w:marTop w:val="0"/>
      <w:marBottom w:val="0"/>
      <w:divBdr>
        <w:top w:val="none" w:sz="0" w:space="0" w:color="auto"/>
        <w:left w:val="none" w:sz="0" w:space="0" w:color="auto"/>
        <w:bottom w:val="none" w:sz="0" w:space="0" w:color="auto"/>
        <w:right w:val="none" w:sz="0" w:space="0" w:color="auto"/>
      </w:divBdr>
    </w:div>
    <w:div w:id="510796549">
      <w:bodyDiv w:val="1"/>
      <w:marLeft w:val="0"/>
      <w:marRight w:val="0"/>
      <w:marTop w:val="0"/>
      <w:marBottom w:val="0"/>
      <w:divBdr>
        <w:top w:val="none" w:sz="0" w:space="0" w:color="auto"/>
        <w:left w:val="none" w:sz="0" w:space="0" w:color="auto"/>
        <w:bottom w:val="none" w:sz="0" w:space="0" w:color="auto"/>
        <w:right w:val="none" w:sz="0" w:space="0" w:color="auto"/>
      </w:divBdr>
    </w:div>
    <w:div w:id="598175393">
      <w:bodyDiv w:val="1"/>
      <w:marLeft w:val="0"/>
      <w:marRight w:val="0"/>
      <w:marTop w:val="0"/>
      <w:marBottom w:val="0"/>
      <w:divBdr>
        <w:top w:val="none" w:sz="0" w:space="0" w:color="auto"/>
        <w:left w:val="none" w:sz="0" w:space="0" w:color="auto"/>
        <w:bottom w:val="none" w:sz="0" w:space="0" w:color="auto"/>
        <w:right w:val="none" w:sz="0" w:space="0" w:color="auto"/>
      </w:divBdr>
    </w:div>
    <w:div w:id="618147674">
      <w:bodyDiv w:val="1"/>
      <w:marLeft w:val="0"/>
      <w:marRight w:val="0"/>
      <w:marTop w:val="0"/>
      <w:marBottom w:val="0"/>
      <w:divBdr>
        <w:top w:val="none" w:sz="0" w:space="0" w:color="auto"/>
        <w:left w:val="none" w:sz="0" w:space="0" w:color="auto"/>
        <w:bottom w:val="none" w:sz="0" w:space="0" w:color="auto"/>
        <w:right w:val="none" w:sz="0" w:space="0" w:color="auto"/>
      </w:divBdr>
    </w:div>
    <w:div w:id="632096627">
      <w:bodyDiv w:val="1"/>
      <w:marLeft w:val="0"/>
      <w:marRight w:val="0"/>
      <w:marTop w:val="0"/>
      <w:marBottom w:val="0"/>
      <w:divBdr>
        <w:top w:val="none" w:sz="0" w:space="0" w:color="auto"/>
        <w:left w:val="none" w:sz="0" w:space="0" w:color="auto"/>
        <w:bottom w:val="none" w:sz="0" w:space="0" w:color="auto"/>
        <w:right w:val="none" w:sz="0" w:space="0" w:color="auto"/>
      </w:divBdr>
    </w:div>
    <w:div w:id="665132541">
      <w:bodyDiv w:val="1"/>
      <w:marLeft w:val="0"/>
      <w:marRight w:val="0"/>
      <w:marTop w:val="0"/>
      <w:marBottom w:val="0"/>
      <w:divBdr>
        <w:top w:val="none" w:sz="0" w:space="0" w:color="auto"/>
        <w:left w:val="none" w:sz="0" w:space="0" w:color="auto"/>
        <w:bottom w:val="none" w:sz="0" w:space="0" w:color="auto"/>
        <w:right w:val="none" w:sz="0" w:space="0" w:color="auto"/>
      </w:divBdr>
    </w:div>
    <w:div w:id="693579819">
      <w:bodyDiv w:val="1"/>
      <w:marLeft w:val="0"/>
      <w:marRight w:val="0"/>
      <w:marTop w:val="0"/>
      <w:marBottom w:val="0"/>
      <w:divBdr>
        <w:top w:val="none" w:sz="0" w:space="0" w:color="auto"/>
        <w:left w:val="none" w:sz="0" w:space="0" w:color="auto"/>
        <w:bottom w:val="none" w:sz="0" w:space="0" w:color="auto"/>
        <w:right w:val="none" w:sz="0" w:space="0" w:color="auto"/>
      </w:divBdr>
      <w:divsChild>
        <w:div w:id="1372266843">
          <w:marLeft w:val="0"/>
          <w:marRight w:val="0"/>
          <w:marTop w:val="0"/>
          <w:marBottom w:val="0"/>
          <w:divBdr>
            <w:top w:val="none" w:sz="0" w:space="0" w:color="auto"/>
            <w:left w:val="none" w:sz="0" w:space="0" w:color="auto"/>
            <w:bottom w:val="none" w:sz="0" w:space="0" w:color="auto"/>
            <w:right w:val="none" w:sz="0" w:space="0" w:color="auto"/>
          </w:divBdr>
          <w:divsChild>
            <w:div w:id="2048601724">
              <w:marLeft w:val="0"/>
              <w:marRight w:val="0"/>
              <w:marTop w:val="0"/>
              <w:marBottom w:val="0"/>
              <w:divBdr>
                <w:top w:val="none" w:sz="0" w:space="0" w:color="auto"/>
                <w:left w:val="none" w:sz="0" w:space="0" w:color="auto"/>
                <w:bottom w:val="none" w:sz="0" w:space="0" w:color="auto"/>
                <w:right w:val="none" w:sz="0" w:space="0" w:color="auto"/>
              </w:divBdr>
              <w:divsChild>
                <w:div w:id="372114665">
                  <w:marLeft w:val="0"/>
                  <w:marRight w:val="0"/>
                  <w:marTop w:val="0"/>
                  <w:marBottom w:val="0"/>
                  <w:divBdr>
                    <w:top w:val="none" w:sz="0" w:space="0" w:color="auto"/>
                    <w:left w:val="none" w:sz="0" w:space="0" w:color="auto"/>
                    <w:bottom w:val="none" w:sz="0" w:space="0" w:color="auto"/>
                    <w:right w:val="none" w:sz="0" w:space="0" w:color="auto"/>
                  </w:divBdr>
                  <w:divsChild>
                    <w:div w:id="1919945356">
                      <w:marLeft w:val="1"/>
                      <w:marRight w:val="1"/>
                      <w:marTop w:val="1"/>
                      <w:marBottom w:val="1"/>
                      <w:divBdr>
                        <w:top w:val="none" w:sz="0" w:space="0" w:color="auto"/>
                        <w:left w:val="none" w:sz="0" w:space="0" w:color="auto"/>
                        <w:bottom w:val="none" w:sz="0" w:space="0" w:color="auto"/>
                        <w:right w:val="none" w:sz="0" w:space="0" w:color="auto"/>
                      </w:divBdr>
                      <w:divsChild>
                        <w:div w:id="117847177">
                          <w:marLeft w:val="1"/>
                          <w:marRight w:val="1"/>
                          <w:marTop w:val="1"/>
                          <w:marBottom w:val="1"/>
                          <w:divBdr>
                            <w:top w:val="none" w:sz="0" w:space="0" w:color="auto"/>
                            <w:left w:val="none" w:sz="0" w:space="0" w:color="auto"/>
                            <w:bottom w:val="none" w:sz="0" w:space="0" w:color="auto"/>
                            <w:right w:val="none" w:sz="0" w:space="0" w:color="auto"/>
                          </w:divBdr>
                          <w:divsChild>
                            <w:div w:id="164569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573519">
      <w:bodyDiv w:val="1"/>
      <w:marLeft w:val="0"/>
      <w:marRight w:val="0"/>
      <w:marTop w:val="0"/>
      <w:marBottom w:val="0"/>
      <w:divBdr>
        <w:top w:val="none" w:sz="0" w:space="0" w:color="auto"/>
        <w:left w:val="none" w:sz="0" w:space="0" w:color="auto"/>
        <w:bottom w:val="none" w:sz="0" w:space="0" w:color="auto"/>
        <w:right w:val="none" w:sz="0" w:space="0" w:color="auto"/>
      </w:divBdr>
    </w:div>
    <w:div w:id="705984152">
      <w:bodyDiv w:val="1"/>
      <w:marLeft w:val="0"/>
      <w:marRight w:val="0"/>
      <w:marTop w:val="0"/>
      <w:marBottom w:val="0"/>
      <w:divBdr>
        <w:top w:val="none" w:sz="0" w:space="0" w:color="auto"/>
        <w:left w:val="none" w:sz="0" w:space="0" w:color="auto"/>
        <w:bottom w:val="none" w:sz="0" w:space="0" w:color="auto"/>
        <w:right w:val="none" w:sz="0" w:space="0" w:color="auto"/>
      </w:divBdr>
      <w:divsChild>
        <w:div w:id="1964771840">
          <w:marLeft w:val="0"/>
          <w:marRight w:val="0"/>
          <w:marTop w:val="0"/>
          <w:marBottom w:val="0"/>
          <w:divBdr>
            <w:top w:val="none" w:sz="0" w:space="0" w:color="auto"/>
            <w:left w:val="none" w:sz="0" w:space="0" w:color="auto"/>
            <w:bottom w:val="none" w:sz="0" w:space="0" w:color="auto"/>
            <w:right w:val="none" w:sz="0" w:space="0" w:color="auto"/>
          </w:divBdr>
          <w:divsChild>
            <w:div w:id="285090908">
              <w:marLeft w:val="0"/>
              <w:marRight w:val="0"/>
              <w:marTop w:val="0"/>
              <w:marBottom w:val="0"/>
              <w:divBdr>
                <w:top w:val="none" w:sz="0" w:space="0" w:color="auto"/>
                <w:left w:val="none" w:sz="0" w:space="0" w:color="auto"/>
                <w:bottom w:val="none" w:sz="0" w:space="0" w:color="auto"/>
                <w:right w:val="none" w:sz="0" w:space="0" w:color="auto"/>
              </w:divBdr>
              <w:divsChild>
                <w:div w:id="1830369384">
                  <w:marLeft w:val="0"/>
                  <w:marRight w:val="0"/>
                  <w:marTop w:val="0"/>
                  <w:marBottom w:val="0"/>
                  <w:divBdr>
                    <w:top w:val="none" w:sz="0" w:space="0" w:color="auto"/>
                    <w:left w:val="none" w:sz="0" w:space="0" w:color="auto"/>
                    <w:bottom w:val="none" w:sz="0" w:space="0" w:color="auto"/>
                    <w:right w:val="none" w:sz="0" w:space="0" w:color="auto"/>
                  </w:divBdr>
                  <w:divsChild>
                    <w:div w:id="787891184">
                      <w:marLeft w:val="1"/>
                      <w:marRight w:val="1"/>
                      <w:marTop w:val="1"/>
                      <w:marBottom w:val="1"/>
                      <w:divBdr>
                        <w:top w:val="none" w:sz="0" w:space="0" w:color="auto"/>
                        <w:left w:val="none" w:sz="0" w:space="0" w:color="auto"/>
                        <w:bottom w:val="none" w:sz="0" w:space="0" w:color="auto"/>
                        <w:right w:val="none" w:sz="0" w:space="0" w:color="auto"/>
                      </w:divBdr>
                      <w:divsChild>
                        <w:div w:id="481315456">
                          <w:marLeft w:val="1"/>
                          <w:marRight w:val="1"/>
                          <w:marTop w:val="1"/>
                          <w:marBottom w:val="1"/>
                          <w:divBdr>
                            <w:top w:val="none" w:sz="0" w:space="0" w:color="auto"/>
                            <w:left w:val="none" w:sz="0" w:space="0" w:color="auto"/>
                            <w:bottom w:val="none" w:sz="0" w:space="0" w:color="auto"/>
                            <w:right w:val="none" w:sz="0" w:space="0" w:color="auto"/>
                          </w:divBdr>
                          <w:divsChild>
                            <w:div w:id="107658580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406175">
      <w:bodyDiv w:val="1"/>
      <w:marLeft w:val="0"/>
      <w:marRight w:val="0"/>
      <w:marTop w:val="0"/>
      <w:marBottom w:val="0"/>
      <w:divBdr>
        <w:top w:val="none" w:sz="0" w:space="0" w:color="auto"/>
        <w:left w:val="none" w:sz="0" w:space="0" w:color="auto"/>
        <w:bottom w:val="none" w:sz="0" w:space="0" w:color="auto"/>
        <w:right w:val="none" w:sz="0" w:space="0" w:color="auto"/>
      </w:divBdr>
    </w:div>
    <w:div w:id="831991249">
      <w:bodyDiv w:val="1"/>
      <w:marLeft w:val="0"/>
      <w:marRight w:val="0"/>
      <w:marTop w:val="0"/>
      <w:marBottom w:val="0"/>
      <w:divBdr>
        <w:top w:val="none" w:sz="0" w:space="0" w:color="auto"/>
        <w:left w:val="none" w:sz="0" w:space="0" w:color="auto"/>
        <w:bottom w:val="none" w:sz="0" w:space="0" w:color="auto"/>
        <w:right w:val="none" w:sz="0" w:space="0" w:color="auto"/>
      </w:divBdr>
    </w:div>
    <w:div w:id="927929457">
      <w:bodyDiv w:val="1"/>
      <w:marLeft w:val="0"/>
      <w:marRight w:val="0"/>
      <w:marTop w:val="0"/>
      <w:marBottom w:val="0"/>
      <w:divBdr>
        <w:top w:val="none" w:sz="0" w:space="0" w:color="auto"/>
        <w:left w:val="none" w:sz="0" w:space="0" w:color="auto"/>
        <w:bottom w:val="none" w:sz="0" w:space="0" w:color="auto"/>
        <w:right w:val="none" w:sz="0" w:space="0" w:color="auto"/>
      </w:divBdr>
      <w:divsChild>
        <w:div w:id="410468188">
          <w:marLeft w:val="0"/>
          <w:marRight w:val="0"/>
          <w:marTop w:val="0"/>
          <w:marBottom w:val="0"/>
          <w:divBdr>
            <w:top w:val="none" w:sz="0" w:space="0" w:color="auto"/>
            <w:left w:val="none" w:sz="0" w:space="0" w:color="auto"/>
            <w:bottom w:val="none" w:sz="0" w:space="0" w:color="auto"/>
            <w:right w:val="none" w:sz="0" w:space="0" w:color="auto"/>
          </w:divBdr>
          <w:divsChild>
            <w:div w:id="2143307832">
              <w:marLeft w:val="0"/>
              <w:marRight w:val="0"/>
              <w:marTop w:val="0"/>
              <w:marBottom w:val="0"/>
              <w:divBdr>
                <w:top w:val="none" w:sz="0" w:space="0" w:color="auto"/>
                <w:left w:val="none" w:sz="0" w:space="0" w:color="auto"/>
                <w:bottom w:val="none" w:sz="0" w:space="0" w:color="auto"/>
                <w:right w:val="none" w:sz="0" w:space="0" w:color="auto"/>
              </w:divBdr>
              <w:divsChild>
                <w:div w:id="1482695289">
                  <w:marLeft w:val="0"/>
                  <w:marRight w:val="0"/>
                  <w:marTop w:val="0"/>
                  <w:marBottom w:val="0"/>
                  <w:divBdr>
                    <w:top w:val="none" w:sz="0" w:space="0" w:color="auto"/>
                    <w:left w:val="none" w:sz="0" w:space="0" w:color="auto"/>
                    <w:bottom w:val="none" w:sz="0" w:space="0" w:color="auto"/>
                    <w:right w:val="none" w:sz="0" w:space="0" w:color="auto"/>
                  </w:divBdr>
                  <w:divsChild>
                    <w:div w:id="1598052520">
                      <w:marLeft w:val="1"/>
                      <w:marRight w:val="1"/>
                      <w:marTop w:val="1"/>
                      <w:marBottom w:val="1"/>
                      <w:divBdr>
                        <w:top w:val="none" w:sz="0" w:space="0" w:color="auto"/>
                        <w:left w:val="none" w:sz="0" w:space="0" w:color="auto"/>
                        <w:bottom w:val="none" w:sz="0" w:space="0" w:color="auto"/>
                        <w:right w:val="none" w:sz="0" w:space="0" w:color="auto"/>
                      </w:divBdr>
                      <w:divsChild>
                        <w:div w:id="1342465998">
                          <w:marLeft w:val="1"/>
                          <w:marRight w:val="1"/>
                          <w:marTop w:val="1"/>
                          <w:marBottom w:val="1"/>
                          <w:divBdr>
                            <w:top w:val="none" w:sz="0" w:space="0" w:color="auto"/>
                            <w:left w:val="none" w:sz="0" w:space="0" w:color="auto"/>
                            <w:bottom w:val="none" w:sz="0" w:space="0" w:color="auto"/>
                            <w:right w:val="none" w:sz="0" w:space="0" w:color="auto"/>
                          </w:divBdr>
                          <w:divsChild>
                            <w:div w:id="173022826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803993">
      <w:bodyDiv w:val="1"/>
      <w:marLeft w:val="0"/>
      <w:marRight w:val="0"/>
      <w:marTop w:val="0"/>
      <w:marBottom w:val="0"/>
      <w:divBdr>
        <w:top w:val="none" w:sz="0" w:space="0" w:color="auto"/>
        <w:left w:val="none" w:sz="0" w:space="0" w:color="auto"/>
        <w:bottom w:val="none" w:sz="0" w:space="0" w:color="auto"/>
        <w:right w:val="none" w:sz="0" w:space="0" w:color="auto"/>
      </w:divBdr>
    </w:div>
    <w:div w:id="996155764">
      <w:bodyDiv w:val="1"/>
      <w:marLeft w:val="0"/>
      <w:marRight w:val="0"/>
      <w:marTop w:val="0"/>
      <w:marBottom w:val="0"/>
      <w:divBdr>
        <w:top w:val="none" w:sz="0" w:space="0" w:color="auto"/>
        <w:left w:val="none" w:sz="0" w:space="0" w:color="auto"/>
        <w:bottom w:val="none" w:sz="0" w:space="0" w:color="auto"/>
        <w:right w:val="none" w:sz="0" w:space="0" w:color="auto"/>
      </w:divBdr>
    </w:div>
    <w:div w:id="1032681828">
      <w:bodyDiv w:val="1"/>
      <w:marLeft w:val="0"/>
      <w:marRight w:val="0"/>
      <w:marTop w:val="0"/>
      <w:marBottom w:val="0"/>
      <w:divBdr>
        <w:top w:val="none" w:sz="0" w:space="0" w:color="auto"/>
        <w:left w:val="none" w:sz="0" w:space="0" w:color="auto"/>
        <w:bottom w:val="none" w:sz="0" w:space="0" w:color="auto"/>
        <w:right w:val="none" w:sz="0" w:space="0" w:color="auto"/>
      </w:divBdr>
    </w:div>
    <w:div w:id="1077242828">
      <w:bodyDiv w:val="1"/>
      <w:marLeft w:val="0"/>
      <w:marRight w:val="0"/>
      <w:marTop w:val="0"/>
      <w:marBottom w:val="0"/>
      <w:divBdr>
        <w:top w:val="none" w:sz="0" w:space="0" w:color="auto"/>
        <w:left w:val="none" w:sz="0" w:space="0" w:color="auto"/>
        <w:bottom w:val="none" w:sz="0" w:space="0" w:color="auto"/>
        <w:right w:val="none" w:sz="0" w:space="0" w:color="auto"/>
      </w:divBdr>
    </w:div>
    <w:div w:id="1111632263">
      <w:bodyDiv w:val="1"/>
      <w:marLeft w:val="0"/>
      <w:marRight w:val="0"/>
      <w:marTop w:val="0"/>
      <w:marBottom w:val="0"/>
      <w:divBdr>
        <w:top w:val="none" w:sz="0" w:space="0" w:color="auto"/>
        <w:left w:val="none" w:sz="0" w:space="0" w:color="auto"/>
        <w:bottom w:val="none" w:sz="0" w:space="0" w:color="auto"/>
        <w:right w:val="none" w:sz="0" w:space="0" w:color="auto"/>
      </w:divBdr>
    </w:div>
    <w:div w:id="1139960044">
      <w:bodyDiv w:val="1"/>
      <w:marLeft w:val="0"/>
      <w:marRight w:val="0"/>
      <w:marTop w:val="0"/>
      <w:marBottom w:val="0"/>
      <w:divBdr>
        <w:top w:val="none" w:sz="0" w:space="0" w:color="auto"/>
        <w:left w:val="none" w:sz="0" w:space="0" w:color="auto"/>
        <w:bottom w:val="none" w:sz="0" w:space="0" w:color="auto"/>
        <w:right w:val="none" w:sz="0" w:space="0" w:color="auto"/>
      </w:divBdr>
    </w:div>
    <w:div w:id="1237012262">
      <w:bodyDiv w:val="1"/>
      <w:marLeft w:val="0"/>
      <w:marRight w:val="0"/>
      <w:marTop w:val="0"/>
      <w:marBottom w:val="0"/>
      <w:divBdr>
        <w:top w:val="none" w:sz="0" w:space="0" w:color="auto"/>
        <w:left w:val="none" w:sz="0" w:space="0" w:color="auto"/>
        <w:bottom w:val="none" w:sz="0" w:space="0" w:color="auto"/>
        <w:right w:val="none" w:sz="0" w:space="0" w:color="auto"/>
      </w:divBdr>
    </w:div>
    <w:div w:id="1357342823">
      <w:bodyDiv w:val="1"/>
      <w:marLeft w:val="0"/>
      <w:marRight w:val="0"/>
      <w:marTop w:val="0"/>
      <w:marBottom w:val="0"/>
      <w:divBdr>
        <w:top w:val="none" w:sz="0" w:space="0" w:color="auto"/>
        <w:left w:val="none" w:sz="0" w:space="0" w:color="auto"/>
        <w:bottom w:val="none" w:sz="0" w:space="0" w:color="auto"/>
        <w:right w:val="none" w:sz="0" w:space="0" w:color="auto"/>
      </w:divBdr>
    </w:div>
    <w:div w:id="1370911445">
      <w:bodyDiv w:val="1"/>
      <w:marLeft w:val="0"/>
      <w:marRight w:val="0"/>
      <w:marTop w:val="0"/>
      <w:marBottom w:val="0"/>
      <w:divBdr>
        <w:top w:val="none" w:sz="0" w:space="0" w:color="auto"/>
        <w:left w:val="none" w:sz="0" w:space="0" w:color="auto"/>
        <w:bottom w:val="none" w:sz="0" w:space="0" w:color="auto"/>
        <w:right w:val="none" w:sz="0" w:space="0" w:color="auto"/>
      </w:divBdr>
    </w:div>
    <w:div w:id="1461724630">
      <w:bodyDiv w:val="1"/>
      <w:marLeft w:val="0"/>
      <w:marRight w:val="0"/>
      <w:marTop w:val="0"/>
      <w:marBottom w:val="0"/>
      <w:divBdr>
        <w:top w:val="none" w:sz="0" w:space="0" w:color="auto"/>
        <w:left w:val="none" w:sz="0" w:space="0" w:color="auto"/>
        <w:bottom w:val="none" w:sz="0" w:space="0" w:color="auto"/>
        <w:right w:val="none" w:sz="0" w:space="0" w:color="auto"/>
      </w:divBdr>
    </w:div>
    <w:div w:id="1491561881">
      <w:bodyDiv w:val="1"/>
      <w:marLeft w:val="0"/>
      <w:marRight w:val="0"/>
      <w:marTop w:val="0"/>
      <w:marBottom w:val="0"/>
      <w:divBdr>
        <w:top w:val="none" w:sz="0" w:space="0" w:color="auto"/>
        <w:left w:val="none" w:sz="0" w:space="0" w:color="auto"/>
        <w:bottom w:val="none" w:sz="0" w:space="0" w:color="auto"/>
        <w:right w:val="none" w:sz="0" w:space="0" w:color="auto"/>
      </w:divBdr>
    </w:div>
    <w:div w:id="1498378454">
      <w:bodyDiv w:val="1"/>
      <w:marLeft w:val="0"/>
      <w:marRight w:val="0"/>
      <w:marTop w:val="0"/>
      <w:marBottom w:val="0"/>
      <w:divBdr>
        <w:top w:val="none" w:sz="0" w:space="0" w:color="auto"/>
        <w:left w:val="none" w:sz="0" w:space="0" w:color="auto"/>
        <w:bottom w:val="none" w:sz="0" w:space="0" w:color="auto"/>
        <w:right w:val="none" w:sz="0" w:space="0" w:color="auto"/>
      </w:divBdr>
    </w:div>
    <w:div w:id="1504590501">
      <w:bodyDiv w:val="1"/>
      <w:marLeft w:val="0"/>
      <w:marRight w:val="0"/>
      <w:marTop w:val="0"/>
      <w:marBottom w:val="0"/>
      <w:divBdr>
        <w:top w:val="none" w:sz="0" w:space="0" w:color="auto"/>
        <w:left w:val="none" w:sz="0" w:space="0" w:color="auto"/>
        <w:bottom w:val="none" w:sz="0" w:space="0" w:color="auto"/>
        <w:right w:val="none" w:sz="0" w:space="0" w:color="auto"/>
      </w:divBdr>
    </w:div>
    <w:div w:id="1567497880">
      <w:bodyDiv w:val="1"/>
      <w:marLeft w:val="0"/>
      <w:marRight w:val="0"/>
      <w:marTop w:val="0"/>
      <w:marBottom w:val="0"/>
      <w:divBdr>
        <w:top w:val="none" w:sz="0" w:space="0" w:color="auto"/>
        <w:left w:val="none" w:sz="0" w:space="0" w:color="auto"/>
        <w:bottom w:val="none" w:sz="0" w:space="0" w:color="auto"/>
        <w:right w:val="none" w:sz="0" w:space="0" w:color="auto"/>
      </w:divBdr>
    </w:div>
    <w:div w:id="1639266889">
      <w:bodyDiv w:val="1"/>
      <w:marLeft w:val="0"/>
      <w:marRight w:val="0"/>
      <w:marTop w:val="0"/>
      <w:marBottom w:val="0"/>
      <w:divBdr>
        <w:top w:val="none" w:sz="0" w:space="0" w:color="auto"/>
        <w:left w:val="none" w:sz="0" w:space="0" w:color="auto"/>
        <w:bottom w:val="none" w:sz="0" w:space="0" w:color="auto"/>
        <w:right w:val="none" w:sz="0" w:space="0" w:color="auto"/>
      </w:divBdr>
    </w:div>
    <w:div w:id="1645161151">
      <w:bodyDiv w:val="1"/>
      <w:marLeft w:val="0"/>
      <w:marRight w:val="0"/>
      <w:marTop w:val="0"/>
      <w:marBottom w:val="0"/>
      <w:divBdr>
        <w:top w:val="none" w:sz="0" w:space="0" w:color="auto"/>
        <w:left w:val="none" w:sz="0" w:space="0" w:color="auto"/>
        <w:bottom w:val="none" w:sz="0" w:space="0" w:color="auto"/>
        <w:right w:val="none" w:sz="0" w:space="0" w:color="auto"/>
      </w:divBdr>
    </w:div>
    <w:div w:id="1731155506">
      <w:bodyDiv w:val="1"/>
      <w:marLeft w:val="0"/>
      <w:marRight w:val="0"/>
      <w:marTop w:val="0"/>
      <w:marBottom w:val="0"/>
      <w:divBdr>
        <w:top w:val="none" w:sz="0" w:space="0" w:color="auto"/>
        <w:left w:val="none" w:sz="0" w:space="0" w:color="auto"/>
        <w:bottom w:val="none" w:sz="0" w:space="0" w:color="auto"/>
        <w:right w:val="none" w:sz="0" w:space="0" w:color="auto"/>
      </w:divBdr>
    </w:div>
    <w:div w:id="1769034681">
      <w:bodyDiv w:val="1"/>
      <w:marLeft w:val="0"/>
      <w:marRight w:val="0"/>
      <w:marTop w:val="0"/>
      <w:marBottom w:val="0"/>
      <w:divBdr>
        <w:top w:val="none" w:sz="0" w:space="0" w:color="auto"/>
        <w:left w:val="none" w:sz="0" w:space="0" w:color="auto"/>
        <w:bottom w:val="none" w:sz="0" w:space="0" w:color="auto"/>
        <w:right w:val="none" w:sz="0" w:space="0" w:color="auto"/>
      </w:divBdr>
    </w:div>
    <w:div w:id="1826512752">
      <w:bodyDiv w:val="1"/>
      <w:marLeft w:val="0"/>
      <w:marRight w:val="0"/>
      <w:marTop w:val="0"/>
      <w:marBottom w:val="0"/>
      <w:divBdr>
        <w:top w:val="none" w:sz="0" w:space="0" w:color="auto"/>
        <w:left w:val="none" w:sz="0" w:space="0" w:color="auto"/>
        <w:bottom w:val="none" w:sz="0" w:space="0" w:color="auto"/>
        <w:right w:val="none" w:sz="0" w:space="0" w:color="auto"/>
      </w:divBdr>
    </w:div>
    <w:div w:id="1836187999">
      <w:bodyDiv w:val="1"/>
      <w:marLeft w:val="0"/>
      <w:marRight w:val="0"/>
      <w:marTop w:val="0"/>
      <w:marBottom w:val="0"/>
      <w:divBdr>
        <w:top w:val="none" w:sz="0" w:space="0" w:color="auto"/>
        <w:left w:val="none" w:sz="0" w:space="0" w:color="auto"/>
        <w:bottom w:val="none" w:sz="0" w:space="0" w:color="auto"/>
        <w:right w:val="none" w:sz="0" w:space="0" w:color="auto"/>
      </w:divBdr>
    </w:div>
    <w:div w:id="1844587765">
      <w:bodyDiv w:val="1"/>
      <w:marLeft w:val="0"/>
      <w:marRight w:val="0"/>
      <w:marTop w:val="0"/>
      <w:marBottom w:val="0"/>
      <w:divBdr>
        <w:top w:val="none" w:sz="0" w:space="0" w:color="auto"/>
        <w:left w:val="none" w:sz="0" w:space="0" w:color="auto"/>
        <w:bottom w:val="none" w:sz="0" w:space="0" w:color="auto"/>
        <w:right w:val="none" w:sz="0" w:space="0" w:color="auto"/>
      </w:divBdr>
    </w:div>
    <w:div w:id="1866210457">
      <w:bodyDiv w:val="1"/>
      <w:marLeft w:val="0"/>
      <w:marRight w:val="0"/>
      <w:marTop w:val="0"/>
      <w:marBottom w:val="0"/>
      <w:divBdr>
        <w:top w:val="none" w:sz="0" w:space="0" w:color="auto"/>
        <w:left w:val="none" w:sz="0" w:space="0" w:color="auto"/>
        <w:bottom w:val="none" w:sz="0" w:space="0" w:color="auto"/>
        <w:right w:val="none" w:sz="0" w:space="0" w:color="auto"/>
      </w:divBdr>
      <w:divsChild>
        <w:div w:id="1466242716">
          <w:marLeft w:val="0"/>
          <w:marRight w:val="0"/>
          <w:marTop w:val="0"/>
          <w:marBottom w:val="0"/>
          <w:divBdr>
            <w:top w:val="none" w:sz="0" w:space="0" w:color="auto"/>
            <w:left w:val="none" w:sz="0" w:space="0" w:color="auto"/>
            <w:bottom w:val="none" w:sz="0" w:space="0" w:color="auto"/>
            <w:right w:val="none" w:sz="0" w:space="0" w:color="auto"/>
          </w:divBdr>
          <w:divsChild>
            <w:div w:id="1424258709">
              <w:marLeft w:val="0"/>
              <w:marRight w:val="0"/>
              <w:marTop w:val="0"/>
              <w:marBottom w:val="0"/>
              <w:divBdr>
                <w:top w:val="none" w:sz="0" w:space="0" w:color="auto"/>
                <w:left w:val="none" w:sz="0" w:space="0" w:color="auto"/>
                <w:bottom w:val="none" w:sz="0" w:space="0" w:color="auto"/>
                <w:right w:val="none" w:sz="0" w:space="0" w:color="auto"/>
              </w:divBdr>
              <w:divsChild>
                <w:div w:id="50807064">
                  <w:marLeft w:val="0"/>
                  <w:marRight w:val="0"/>
                  <w:marTop w:val="0"/>
                  <w:marBottom w:val="0"/>
                  <w:divBdr>
                    <w:top w:val="none" w:sz="0" w:space="0" w:color="auto"/>
                    <w:left w:val="none" w:sz="0" w:space="0" w:color="auto"/>
                    <w:bottom w:val="none" w:sz="0" w:space="0" w:color="auto"/>
                    <w:right w:val="none" w:sz="0" w:space="0" w:color="auto"/>
                  </w:divBdr>
                  <w:divsChild>
                    <w:div w:id="1509104185">
                      <w:marLeft w:val="1"/>
                      <w:marRight w:val="1"/>
                      <w:marTop w:val="1"/>
                      <w:marBottom w:val="1"/>
                      <w:divBdr>
                        <w:top w:val="none" w:sz="0" w:space="0" w:color="auto"/>
                        <w:left w:val="none" w:sz="0" w:space="0" w:color="auto"/>
                        <w:bottom w:val="none" w:sz="0" w:space="0" w:color="auto"/>
                        <w:right w:val="none" w:sz="0" w:space="0" w:color="auto"/>
                      </w:divBdr>
                      <w:divsChild>
                        <w:div w:id="1866089599">
                          <w:marLeft w:val="1"/>
                          <w:marRight w:val="1"/>
                          <w:marTop w:val="1"/>
                          <w:marBottom w:val="1"/>
                          <w:divBdr>
                            <w:top w:val="none" w:sz="0" w:space="0" w:color="auto"/>
                            <w:left w:val="none" w:sz="0" w:space="0" w:color="auto"/>
                            <w:bottom w:val="none" w:sz="0" w:space="0" w:color="auto"/>
                            <w:right w:val="none" w:sz="0" w:space="0" w:color="auto"/>
                          </w:divBdr>
                          <w:divsChild>
                            <w:div w:id="103253093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550957">
      <w:bodyDiv w:val="1"/>
      <w:marLeft w:val="0"/>
      <w:marRight w:val="0"/>
      <w:marTop w:val="0"/>
      <w:marBottom w:val="0"/>
      <w:divBdr>
        <w:top w:val="none" w:sz="0" w:space="0" w:color="auto"/>
        <w:left w:val="none" w:sz="0" w:space="0" w:color="auto"/>
        <w:bottom w:val="none" w:sz="0" w:space="0" w:color="auto"/>
        <w:right w:val="none" w:sz="0" w:space="0" w:color="auto"/>
      </w:divBdr>
    </w:div>
    <w:div w:id="1983732527">
      <w:bodyDiv w:val="1"/>
      <w:marLeft w:val="0"/>
      <w:marRight w:val="0"/>
      <w:marTop w:val="0"/>
      <w:marBottom w:val="0"/>
      <w:divBdr>
        <w:top w:val="none" w:sz="0" w:space="0" w:color="auto"/>
        <w:left w:val="none" w:sz="0" w:space="0" w:color="auto"/>
        <w:bottom w:val="none" w:sz="0" w:space="0" w:color="auto"/>
        <w:right w:val="none" w:sz="0" w:space="0" w:color="auto"/>
      </w:divBdr>
    </w:div>
    <w:div w:id="2012950424">
      <w:bodyDiv w:val="1"/>
      <w:marLeft w:val="0"/>
      <w:marRight w:val="0"/>
      <w:marTop w:val="0"/>
      <w:marBottom w:val="0"/>
      <w:divBdr>
        <w:top w:val="none" w:sz="0" w:space="0" w:color="auto"/>
        <w:left w:val="none" w:sz="0" w:space="0" w:color="auto"/>
        <w:bottom w:val="none" w:sz="0" w:space="0" w:color="auto"/>
        <w:right w:val="none" w:sz="0" w:space="0" w:color="auto"/>
      </w:divBdr>
    </w:div>
    <w:div w:id="2029209654">
      <w:bodyDiv w:val="1"/>
      <w:marLeft w:val="0"/>
      <w:marRight w:val="0"/>
      <w:marTop w:val="0"/>
      <w:marBottom w:val="0"/>
      <w:divBdr>
        <w:top w:val="none" w:sz="0" w:space="0" w:color="auto"/>
        <w:left w:val="none" w:sz="0" w:space="0" w:color="auto"/>
        <w:bottom w:val="none" w:sz="0" w:space="0" w:color="auto"/>
        <w:right w:val="none" w:sz="0" w:space="0" w:color="auto"/>
      </w:divBdr>
    </w:div>
    <w:div w:id="2033336467">
      <w:bodyDiv w:val="1"/>
      <w:marLeft w:val="0"/>
      <w:marRight w:val="0"/>
      <w:marTop w:val="0"/>
      <w:marBottom w:val="0"/>
      <w:divBdr>
        <w:top w:val="none" w:sz="0" w:space="0" w:color="auto"/>
        <w:left w:val="none" w:sz="0" w:space="0" w:color="auto"/>
        <w:bottom w:val="none" w:sz="0" w:space="0" w:color="auto"/>
        <w:right w:val="none" w:sz="0" w:space="0" w:color="auto"/>
      </w:divBdr>
    </w:div>
    <w:div w:id="2040278428">
      <w:bodyDiv w:val="1"/>
      <w:marLeft w:val="0"/>
      <w:marRight w:val="0"/>
      <w:marTop w:val="0"/>
      <w:marBottom w:val="0"/>
      <w:divBdr>
        <w:top w:val="none" w:sz="0" w:space="0" w:color="auto"/>
        <w:left w:val="none" w:sz="0" w:space="0" w:color="auto"/>
        <w:bottom w:val="none" w:sz="0" w:space="0" w:color="auto"/>
        <w:right w:val="none" w:sz="0" w:space="0" w:color="auto"/>
      </w:divBdr>
    </w:div>
    <w:div w:id="2086566239">
      <w:bodyDiv w:val="1"/>
      <w:marLeft w:val="0"/>
      <w:marRight w:val="0"/>
      <w:marTop w:val="0"/>
      <w:marBottom w:val="0"/>
      <w:divBdr>
        <w:top w:val="none" w:sz="0" w:space="0" w:color="auto"/>
        <w:left w:val="none" w:sz="0" w:space="0" w:color="auto"/>
        <w:bottom w:val="none" w:sz="0" w:space="0" w:color="auto"/>
        <w:right w:val="none" w:sz="0" w:space="0" w:color="auto"/>
      </w:divBdr>
    </w:div>
    <w:div w:id="21420652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asb.org/jsp/GASB/Page/GASBSectionPage&amp;cid=1176163026371" TargetMode="External"/><Relationship Id="rId13" Type="http://schemas.openxmlformats.org/officeDocument/2006/relationships/package" Target="embeddings/Microsoft_Excel_Worksheet1.xlsx"/><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yperlink" Target="http://www.lasers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hyperlink" Target="http://www.lasersonline.org" TargetMode="External"/><Relationship Id="rId14" Type="http://schemas.openxmlformats.org/officeDocument/2006/relationships/image" Target="media/image3.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1633-7AD9-4D68-A2B3-57378A3B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11</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Johnb</dc:creator>
  <cp:keywords/>
  <dc:description/>
  <cp:lastModifiedBy>Artie Fillastre</cp:lastModifiedBy>
  <cp:revision>29</cp:revision>
  <cp:lastPrinted>2017-02-10T22:40:00Z</cp:lastPrinted>
  <dcterms:created xsi:type="dcterms:W3CDTF">2017-02-07T21:41:00Z</dcterms:created>
  <dcterms:modified xsi:type="dcterms:W3CDTF">2017-02-15T16:52:00Z</dcterms:modified>
</cp:coreProperties>
</file>