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3C" w:rsidRDefault="00F7363C" w:rsidP="00F7363C">
      <w:pPr>
        <w:jc w:val="center"/>
        <w:rPr>
          <w:rFonts w:ascii="Palatino Linotype" w:hAnsi="Palatino Linotype"/>
          <w:b/>
        </w:rPr>
      </w:pPr>
      <w:r w:rsidRPr="00433299">
        <w:rPr>
          <w:rFonts w:ascii="Palatino Linotype" w:hAnsi="Palatino Linotype"/>
          <w:b/>
        </w:rPr>
        <w:t>Required Supplementary Information</w:t>
      </w:r>
      <w:r>
        <w:rPr>
          <w:rFonts w:ascii="Palatino Linotype" w:hAnsi="Palatino Linotype"/>
          <w:b/>
        </w:rPr>
        <w:t xml:space="preserve"> (RSI) Template</w:t>
      </w:r>
    </w:p>
    <w:p w:rsidR="00F7363C" w:rsidRDefault="00F7363C" w:rsidP="00F7363C">
      <w:pPr>
        <w:jc w:val="center"/>
        <w:rPr>
          <w:rFonts w:ascii="Palatino Linotype" w:hAnsi="Palatino Linotype"/>
        </w:rPr>
      </w:pPr>
    </w:p>
    <w:p w:rsidR="00F7363C" w:rsidRPr="00D6089F" w:rsidRDefault="00F7363C" w:rsidP="00087EBB">
      <w:pPr>
        <w:jc w:val="both"/>
        <w:rPr>
          <w:rFonts w:ascii="Palatino Linotype" w:hAnsi="Palatino Linotype"/>
          <w:i/>
        </w:rPr>
      </w:pPr>
      <w:r w:rsidRPr="00D6089F">
        <w:rPr>
          <w:rFonts w:ascii="Palatino Linotype" w:hAnsi="Palatino Linotype"/>
          <w:b/>
          <w:i/>
        </w:rPr>
        <w:t>Instructions</w:t>
      </w:r>
      <w:r w:rsidRPr="00D6089F">
        <w:rPr>
          <w:rFonts w:ascii="Palatino Linotype" w:hAnsi="Palatino Linotype"/>
          <w:b/>
        </w:rPr>
        <w:t xml:space="preserve"> </w:t>
      </w:r>
      <w:r w:rsidRPr="00D6089F">
        <w:rPr>
          <w:rFonts w:ascii="Palatino Linotype" w:hAnsi="Palatino Linotype"/>
        </w:rPr>
        <w:t xml:space="preserve">– </w:t>
      </w:r>
      <w:r w:rsidRPr="00D6089F">
        <w:rPr>
          <w:rFonts w:ascii="Palatino Linotype" w:hAnsi="Palatino Linotype"/>
          <w:i/>
        </w:rPr>
        <w:t xml:space="preserve">This template includes two sample schedules and language for Notes to RSI to be used </w:t>
      </w:r>
      <w:r>
        <w:rPr>
          <w:rFonts w:ascii="Palatino Linotype" w:hAnsi="Palatino Linotype"/>
          <w:i/>
        </w:rPr>
        <w:t xml:space="preserve">as a guide in the update of </w:t>
      </w:r>
      <w:r w:rsidRPr="00D6089F">
        <w:rPr>
          <w:rFonts w:ascii="Palatino Linotype" w:hAnsi="Palatino Linotype"/>
          <w:i/>
        </w:rPr>
        <w:t>the RSI section of your financial statements:</w:t>
      </w:r>
    </w:p>
    <w:p w:rsidR="00F7363C" w:rsidRPr="00D6089F" w:rsidRDefault="00F7363C" w:rsidP="00087EBB">
      <w:pPr>
        <w:pStyle w:val="ListParagraph"/>
        <w:numPr>
          <w:ilvl w:val="0"/>
          <w:numId w:val="1"/>
        </w:numPr>
        <w:spacing w:line="276" w:lineRule="auto"/>
        <w:jc w:val="both"/>
        <w:rPr>
          <w:rFonts w:ascii="Palatino Linotype" w:hAnsi="Palatino Linotype"/>
          <w:i/>
          <w:sz w:val="22"/>
          <w:szCs w:val="22"/>
        </w:rPr>
      </w:pPr>
      <w:r w:rsidRPr="00D6089F">
        <w:rPr>
          <w:rFonts w:ascii="Palatino Linotype" w:hAnsi="Palatino Linotype"/>
          <w:i/>
          <w:sz w:val="22"/>
          <w:szCs w:val="22"/>
        </w:rPr>
        <w:t>Schedule of Employer’s Share of Net Pension Liability</w:t>
      </w:r>
    </w:p>
    <w:p w:rsidR="00F7363C" w:rsidRPr="00D6089F" w:rsidRDefault="00F7363C" w:rsidP="00087EBB">
      <w:pPr>
        <w:pStyle w:val="ListParagraph"/>
        <w:numPr>
          <w:ilvl w:val="0"/>
          <w:numId w:val="1"/>
        </w:numPr>
        <w:spacing w:line="276" w:lineRule="auto"/>
        <w:jc w:val="both"/>
        <w:rPr>
          <w:rFonts w:ascii="Palatino Linotype" w:hAnsi="Palatino Linotype"/>
          <w:i/>
          <w:sz w:val="22"/>
          <w:szCs w:val="22"/>
        </w:rPr>
      </w:pPr>
      <w:r w:rsidRPr="00D6089F">
        <w:rPr>
          <w:rFonts w:ascii="Palatino Linotype" w:hAnsi="Palatino Linotype"/>
          <w:i/>
          <w:sz w:val="22"/>
          <w:szCs w:val="22"/>
        </w:rPr>
        <w:t>Schedules of Employer Contributions</w:t>
      </w:r>
    </w:p>
    <w:p w:rsidR="00F7363C" w:rsidRPr="00D6089F" w:rsidRDefault="00F7363C" w:rsidP="00087EBB">
      <w:pPr>
        <w:pStyle w:val="ListParagraph"/>
        <w:numPr>
          <w:ilvl w:val="0"/>
          <w:numId w:val="1"/>
        </w:numPr>
        <w:spacing w:line="276" w:lineRule="auto"/>
        <w:jc w:val="both"/>
        <w:rPr>
          <w:rFonts w:ascii="Palatino Linotype" w:hAnsi="Palatino Linotype"/>
          <w:i/>
          <w:sz w:val="22"/>
          <w:szCs w:val="22"/>
        </w:rPr>
      </w:pPr>
      <w:r w:rsidRPr="00D6089F">
        <w:rPr>
          <w:rFonts w:ascii="Palatino Linotype" w:hAnsi="Palatino Linotype"/>
          <w:i/>
          <w:sz w:val="22"/>
          <w:szCs w:val="22"/>
        </w:rPr>
        <w:t>Notes to Required Supplementary Information</w:t>
      </w:r>
    </w:p>
    <w:p w:rsidR="00F7363C" w:rsidRPr="00D6089F" w:rsidRDefault="00F7363C" w:rsidP="00087EBB">
      <w:pPr>
        <w:jc w:val="both"/>
        <w:rPr>
          <w:rFonts w:ascii="Palatino Linotype" w:hAnsi="Palatino Linotype"/>
        </w:rPr>
      </w:pPr>
    </w:p>
    <w:p w:rsidR="00F7363C" w:rsidRPr="00D6089F" w:rsidRDefault="00F7363C" w:rsidP="00087EBB">
      <w:pPr>
        <w:jc w:val="both"/>
        <w:rPr>
          <w:rFonts w:ascii="Palatino Linotype" w:hAnsi="Palatino Linotype"/>
          <w:i/>
        </w:rPr>
      </w:pPr>
      <w:r w:rsidRPr="00D6089F">
        <w:rPr>
          <w:rFonts w:ascii="Palatino Linotype" w:hAnsi="Palatino Linotype"/>
          <w:i/>
        </w:rPr>
        <w:t xml:space="preserve">The schedules presented below will each eventually show a 10-year history of data related to GASB 68.  You may create your own tables based on the examples LASERS has provided.  </w:t>
      </w:r>
    </w:p>
    <w:p w:rsidR="00F7363C" w:rsidRDefault="00F7363C" w:rsidP="00087EBB">
      <w:pPr>
        <w:jc w:val="both"/>
        <w:rPr>
          <w:rFonts w:ascii="Palatino Linotype" w:hAnsi="Palatino Linotype"/>
          <w:i/>
        </w:rPr>
      </w:pPr>
      <w:r w:rsidRPr="00D6089F">
        <w:rPr>
          <w:rFonts w:ascii="Palatino Linotype" w:hAnsi="Palatino Linotype"/>
          <w:i/>
        </w:rPr>
        <w:t>Each employer is responsible for maintaining its own schedules, retaining prior year data, and updating the schedules each year based on new information.</w:t>
      </w:r>
    </w:p>
    <w:p w:rsidR="00F7363C" w:rsidRPr="00E70780" w:rsidRDefault="00F7363C" w:rsidP="00F7363C">
      <w:pPr>
        <w:rPr>
          <w:rFonts w:ascii="Palatino Linotype" w:hAnsi="Palatino Linotype"/>
          <w:b/>
          <w:i/>
        </w:rPr>
      </w:pPr>
      <w:r w:rsidRPr="00E70780">
        <w:rPr>
          <w:rFonts w:ascii="Palatino Linotype" w:hAnsi="Palatino Linotype"/>
          <w:b/>
          <w:i/>
        </w:rPr>
        <w:t>Note:</w:t>
      </w:r>
      <w:r>
        <w:rPr>
          <w:rFonts w:ascii="Palatino Linotype" w:hAnsi="Palatino Linotype"/>
          <w:b/>
          <w:i/>
        </w:rPr>
        <w:tab/>
      </w:r>
      <w:r w:rsidRPr="00E70780">
        <w:rPr>
          <w:rFonts w:ascii="Palatino Linotype" w:hAnsi="Palatino Linotype"/>
          <w:b/>
          <w:i/>
        </w:rPr>
        <w:t xml:space="preserve">The definition of GASB 68 Covered Employee Payroll for Employers </w:t>
      </w:r>
      <w:r>
        <w:rPr>
          <w:rFonts w:ascii="Palatino Linotype" w:hAnsi="Palatino Linotype"/>
          <w:b/>
          <w:i/>
        </w:rPr>
        <w:t xml:space="preserve">is different </w:t>
      </w:r>
      <w:r w:rsidRPr="00E70780">
        <w:rPr>
          <w:rFonts w:ascii="Palatino Linotype" w:hAnsi="Palatino Linotype"/>
          <w:b/>
          <w:i/>
        </w:rPr>
        <w:t>from GASB 67 Covered Employee Payroll for LASERS</w:t>
      </w:r>
      <w:r>
        <w:rPr>
          <w:rFonts w:ascii="Palatino Linotype" w:hAnsi="Palatino Linotype"/>
          <w:b/>
          <w:i/>
        </w:rPr>
        <w:t>.</w:t>
      </w:r>
    </w:p>
    <w:p w:rsidR="00F7363C" w:rsidRDefault="00F7363C" w:rsidP="00F7363C">
      <w:pPr>
        <w:pStyle w:val="ListParagraph"/>
        <w:numPr>
          <w:ilvl w:val="0"/>
          <w:numId w:val="2"/>
        </w:numPr>
        <w:jc w:val="both"/>
        <w:rPr>
          <w:rFonts w:ascii="Palatino Linotype" w:hAnsi="Palatino Linotype"/>
          <w:b/>
          <w:i/>
          <w:sz w:val="22"/>
          <w:szCs w:val="22"/>
        </w:rPr>
      </w:pPr>
      <w:r w:rsidRPr="005A42B1">
        <w:rPr>
          <w:rFonts w:ascii="Palatino Linotype" w:hAnsi="Palatino Linotype"/>
          <w:b/>
          <w:i/>
          <w:sz w:val="22"/>
          <w:szCs w:val="22"/>
        </w:rPr>
        <w:t>Employer’s Covered Employee Payroll referenced in the GASB 68 schedules below represents the total fiscal year employer payroll as reported to LASERS for its employees covered by the LASERS plan, and further provides the total base compensation for the calculation of employee and employer contributions.</w:t>
      </w:r>
    </w:p>
    <w:p w:rsidR="00F7363C" w:rsidRPr="00981BD0" w:rsidRDefault="00F7363C" w:rsidP="00F7363C">
      <w:pPr>
        <w:jc w:val="both"/>
        <w:rPr>
          <w:rFonts w:ascii="Palatino Linotype" w:hAnsi="Palatino Linotype"/>
          <w:b/>
          <w:i/>
        </w:rPr>
      </w:pPr>
    </w:p>
    <w:p w:rsidR="00F7363C" w:rsidRDefault="00F7363C" w:rsidP="00F7363C">
      <w:pPr>
        <w:pStyle w:val="ListParagraph"/>
        <w:numPr>
          <w:ilvl w:val="0"/>
          <w:numId w:val="3"/>
        </w:numPr>
        <w:jc w:val="both"/>
        <w:rPr>
          <w:rFonts w:ascii="Palatino Linotype" w:hAnsi="Palatino Linotype"/>
          <w:b/>
          <w:i/>
          <w:sz w:val="22"/>
          <w:szCs w:val="22"/>
        </w:rPr>
      </w:pPr>
      <w:r>
        <w:rPr>
          <w:rFonts w:ascii="Palatino Linotype" w:hAnsi="Palatino Linotype"/>
          <w:b/>
          <w:i/>
          <w:sz w:val="22"/>
          <w:szCs w:val="22"/>
        </w:rPr>
        <w:t>Schedule of Employer’s Share of Net Pension Liability -  Covered Employee Payroll is for the measurement periods presented</w:t>
      </w:r>
    </w:p>
    <w:p w:rsidR="00F7363C" w:rsidRPr="00B22008" w:rsidRDefault="00F7363C" w:rsidP="00F7363C">
      <w:pPr>
        <w:ind w:left="1080"/>
        <w:jc w:val="both"/>
        <w:rPr>
          <w:rFonts w:ascii="Palatino Linotype" w:hAnsi="Palatino Linotype"/>
          <w:b/>
          <w:i/>
        </w:rPr>
      </w:pPr>
    </w:p>
    <w:p w:rsidR="00F7363C" w:rsidRPr="00981BD0" w:rsidRDefault="00F7363C" w:rsidP="00F7363C">
      <w:pPr>
        <w:pStyle w:val="ListParagraph"/>
        <w:numPr>
          <w:ilvl w:val="0"/>
          <w:numId w:val="3"/>
        </w:numPr>
        <w:jc w:val="both"/>
        <w:rPr>
          <w:rFonts w:ascii="Palatino Linotype" w:hAnsi="Palatino Linotype"/>
          <w:b/>
          <w:i/>
          <w:sz w:val="22"/>
          <w:szCs w:val="22"/>
        </w:rPr>
      </w:pPr>
      <w:r>
        <w:rPr>
          <w:rFonts w:ascii="Palatino Linotype" w:hAnsi="Palatino Linotype"/>
          <w:b/>
          <w:i/>
          <w:sz w:val="22"/>
          <w:szCs w:val="22"/>
        </w:rPr>
        <w:t xml:space="preserve">Schedule of Employer Contributions - Covered Employee Payroll is for the fiscal years presented </w:t>
      </w:r>
    </w:p>
    <w:p w:rsidR="00F7363C" w:rsidRPr="00EF6000" w:rsidRDefault="00F7363C" w:rsidP="00F7363C">
      <w:pPr>
        <w:ind w:left="105"/>
        <w:jc w:val="both"/>
        <w:rPr>
          <w:rFonts w:ascii="Palatino Linotype" w:hAnsi="Palatino Linotype"/>
          <w:b/>
          <w:i/>
        </w:rPr>
      </w:pPr>
    </w:p>
    <w:p w:rsidR="00F7363C" w:rsidRPr="00E70780" w:rsidRDefault="00F7363C" w:rsidP="00F7363C">
      <w:pPr>
        <w:pStyle w:val="ListParagraph"/>
        <w:numPr>
          <w:ilvl w:val="0"/>
          <w:numId w:val="2"/>
        </w:numPr>
        <w:jc w:val="both"/>
        <w:rPr>
          <w:rFonts w:ascii="Palatino Linotype" w:hAnsi="Palatino Linotype"/>
          <w:b/>
          <w:i/>
          <w:sz w:val="22"/>
          <w:szCs w:val="22"/>
        </w:rPr>
      </w:pPr>
      <w:r w:rsidRPr="00AD4F5E">
        <w:rPr>
          <w:rFonts w:ascii="Palatino Linotype" w:hAnsi="Palatino Linotype"/>
          <w:b/>
          <w:i/>
          <w:sz w:val="22"/>
          <w:szCs w:val="22"/>
        </w:rPr>
        <w:t xml:space="preserve">GASB 67 Covered Employee Payroll for LASERS is the </w:t>
      </w:r>
      <w:r>
        <w:rPr>
          <w:rFonts w:ascii="Palatino Linotype" w:hAnsi="Palatino Linotype"/>
          <w:b/>
          <w:i/>
          <w:sz w:val="22"/>
          <w:szCs w:val="22"/>
        </w:rPr>
        <w:t xml:space="preserve">payroll of employees that are provided with pensions through the plan.  LASERS payroll is defined as the base pay compensation earned by the member, exclusive of overtime and other supplemental pay. </w:t>
      </w:r>
    </w:p>
    <w:p w:rsidR="00F7363C" w:rsidRPr="00D6089F" w:rsidRDefault="00F7363C" w:rsidP="00F7363C">
      <w:pPr>
        <w:jc w:val="both"/>
        <w:rPr>
          <w:rFonts w:ascii="Palatino Linotype" w:hAnsi="Palatino Linotype"/>
          <w:i/>
        </w:rPr>
      </w:pPr>
    </w:p>
    <w:p w:rsidR="00F7363C" w:rsidRDefault="00F7363C"/>
    <w:p w:rsidR="00612E58" w:rsidRDefault="00612E58">
      <w:pPr>
        <w:sectPr w:rsidR="00612E58" w:rsidSect="00612E58">
          <w:footerReference w:type="default" r:id="rId8"/>
          <w:pgSz w:w="12240" w:h="15840"/>
          <w:pgMar w:top="720" w:right="1008" w:bottom="720" w:left="1008" w:header="720" w:footer="720" w:gutter="0"/>
          <w:cols w:space="720"/>
          <w:docGrid w:linePitch="360"/>
        </w:sectPr>
      </w:pPr>
    </w:p>
    <w:bookmarkStart w:id="0" w:name="_MON_1579071850"/>
    <w:bookmarkEnd w:id="0"/>
    <w:p w:rsidR="004B057C" w:rsidRDefault="00A737FE">
      <w:r>
        <w:object w:dxaOrig="8102"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9.5pt" o:ole="">
            <v:imagedata r:id="rId9" o:title=""/>
          </v:shape>
          <o:OLEObject Type="Embed" ProgID="Excel.Sheet.12" ShapeID="_x0000_i1025" DrawAspect="Content" ObjectID="_1637583125" r:id="rId10"/>
        </w:object>
      </w:r>
    </w:p>
    <w:p w:rsidR="00167DDF" w:rsidRDefault="00167DDF"/>
    <w:bookmarkStart w:id="1" w:name="_MON_1579069545"/>
    <w:bookmarkEnd w:id="1"/>
    <w:p w:rsidR="00D50216" w:rsidRDefault="00A737FE">
      <w:r>
        <w:object w:dxaOrig="14808" w:dyaOrig="7041">
          <v:shape id="_x0000_i1026" type="#_x0000_t75" style="width:737.25pt;height:366.75pt" o:ole="">
            <v:imagedata r:id="rId11" o:title=""/>
          </v:shape>
          <o:OLEObject Type="Embed" ProgID="Excel.Sheet.12" ShapeID="_x0000_i1026" DrawAspect="Content" ObjectID="_1637583126" r:id="rId12"/>
        </w:object>
      </w:r>
    </w:p>
    <w:p w:rsidR="004B057C" w:rsidRPr="005A42B1" w:rsidRDefault="004B057C" w:rsidP="004B057C">
      <w:pPr>
        <w:spacing w:after="0" w:line="240" w:lineRule="auto"/>
        <w:rPr>
          <w:rFonts w:ascii="Palatino Linotype" w:hAnsi="Palatino Linotype"/>
          <w:b/>
          <w:i/>
        </w:rPr>
      </w:pPr>
      <w:r w:rsidRPr="005A42B1">
        <w:rPr>
          <w:rFonts w:ascii="Palatino Linotype" w:hAnsi="Palatino Linotype"/>
          <w:b/>
          <w:i/>
        </w:rPr>
        <w:t xml:space="preserve">For </w:t>
      </w:r>
      <w:r>
        <w:rPr>
          <w:rFonts w:ascii="Palatino Linotype" w:hAnsi="Palatino Linotype"/>
          <w:b/>
          <w:i/>
        </w:rPr>
        <w:t>r</w:t>
      </w:r>
      <w:r w:rsidRPr="005A42B1">
        <w:rPr>
          <w:rFonts w:ascii="Palatino Linotype" w:hAnsi="Palatino Linotype"/>
          <w:b/>
          <w:i/>
        </w:rPr>
        <w:t xml:space="preserve">eference </w:t>
      </w:r>
      <w:r>
        <w:rPr>
          <w:rFonts w:ascii="Palatino Linotype" w:hAnsi="Palatino Linotype"/>
          <w:b/>
          <w:i/>
        </w:rPr>
        <w:t>o</w:t>
      </w:r>
      <w:r w:rsidRPr="005A42B1">
        <w:rPr>
          <w:rFonts w:ascii="Palatino Linotype" w:hAnsi="Palatino Linotype"/>
          <w:b/>
          <w:i/>
        </w:rPr>
        <w:t>nly:</w:t>
      </w:r>
    </w:p>
    <w:p w:rsidR="004B057C" w:rsidRPr="005A42B1" w:rsidRDefault="004B057C" w:rsidP="004B057C">
      <w:pPr>
        <w:spacing w:after="0" w:line="240" w:lineRule="auto"/>
        <w:rPr>
          <w:rFonts w:ascii="Palatino Linotype" w:hAnsi="Palatino Linotype"/>
          <w:i/>
        </w:rPr>
      </w:pPr>
      <w:r w:rsidRPr="005A42B1">
        <w:rPr>
          <w:rFonts w:ascii="Palatino Linotype" w:hAnsi="Palatino Linotype"/>
          <w:vertAlign w:val="superscript"/>
        </w:rPr>
        <w:t>A</w:t>
      </w:r>
      <w:r w:rsidRPr="005A42B1">
        <w:rPr>
          <w:rFonts w:ascii="Palatino Linotype" w:hAnsi="Palatino Linotype"/>
          <w:i/>
        </w:rPr>
        <w:t xml:space="preserve">Employer Covered-Employee Payroll as </w:t>
      </w:r>
      <w:r>
        <w:rPr>
          <w:rFonts w:ascii="Palatino Linotype" w:hAnsi="Palatino Linotype"/>
          <w:i/>
        </w:rPr>
        <w:t>reported to LASERS during the measurement periods presented.</w:t>
      </w:r>
    </w:p>
    <w:p w:rsidR="00D50216" w:rsidRPr="00F7363C" w:rsidRDefault="004B057C" w:rsidP="00F7363C">
      <w:pPr>
        <w:spacing w:after="0" w:line="240" w:lineRule="auto"/>
        <w:rPr>
          <w:rFonts w:ascii="Palatino Linotype" w:hAnsi="Palatino Linotype"/>
          <w:i/>
        </w:rPr>
      </w:pPr>
      <w:r w:rsidRPr="005A42B1">
        <w:rPr>
          <w:rFonts w:ascii="Palatino Linotype" w:hAnsi="Palatino Linotype"/>
          <w:vertAlign w:val="superscript"/>
        </w:rPr>
        <w:lastRenderedPageBreak/>
        <w:t>B</w:t>
      </w:r>
      <w:r w:rsidRPr="005A42B1">
        <w:rPr>
          <w:rFonts w:ascii="Palatino Linotype" w:hAnsi="Palatino Linotype"/>
          <w:i/>
        </w:rPr>
        <w:t xml:space="preserve"> </w:t>
      </w:r>
      <w:r>
        <w:rPr>
          <w:rFonts w:ascii="Palatino Linotype" w:hAnsi="Palatino Linotype"/>
          <w:i/>
        </w:rPr>
        <w:t>Refer to LASE</w:t>
      </w:r>
      <w:r w:rsidR="00167DDF">
        <w:rPr>
          <w:rFonts w:ascii="Palatino Linotype" w:hAnsi="Palatino Linotype"/>
          <w:i/>
        </w:rPr>
        <w:t>RS CAFR Schedule of Change in Net Pension Liability.  Please note</w:t>
      </w:r>
      <w:r w:rsidR="00E143F5">
        <w:rPr>
          <w:rFonts w:ascii="Palatino Linotype" w:hAnsi="Palatino Linotype"/>
          <w:i/>
        </w:rPr>
        <w:t xml:space="preserve"> Employer year </w:t>
      </w:r>
      <w:r w:rsidR="000C7652">
        <w:rPr>
          <w:rFonts w:ascii="Palatino Linotype" w:hAnsi="Palatino Linotype"/>
          <w:i/>
        </w:rPr>
        <w:t>2</w:t>
      </w:r>
      <w:r w:rsidR="00C21D7A">
        <w:rPr>
          <w:rFonts w:ascii="Palatino Linotype" w:hAnsi="Palatino Linotype"/>
          <w:i/>
        </w:rPr>
        <w:t>020</w:t>
      </w:r>
      <w:r w:rsidR="00E143F5">
        <w:rPr>
          <w:rFonts w:ascii="Palatino Linotype" w:hAnsi="Palatino Linotype"/>
          <w:i/>
        </w:rPr>
        <w:t xml:space="preserve"> is equ</w:t>
      </w:r>
      <w:r w:rsidR="00C21D7A">
        <w:rPr>
          <w:rFonts w:ascii="Palatino Linotype" w:hAnsi="Palatino Linotype"/>
          <w:i/>
        </w:rPr>
        <w:t>ivalent to LASERS CAFR Year 2019</w:t>
      </w:r>
      <w:r w:rsidR="00E143F5">
        <w:rPr>
          <w:rFonts w:ascii="Palatino Linotype" w:hAnsi="Palatino Linotype"/>
          <w:i/>
        </w:rPr>
        <w:t>.</w:t>
      </w:r>
    </w:p>
    <w:bookmarkStart w:id="2" w:name="_MON_1579070877"/>
    <w:bookmarkEnd w:id="2"/>
    <w:p w:rsidR="00763353" w:rsidRDefault="00A737FE" w:rsidP="00D50216">
      <w:r>
        <w:object w:dxaOrig="14744" w:dyaOrig="7142">
          <v:shape id="_x0000_i1027" type="#_x0000_t75" style="width:723pt;height:351pt" o:ole="">
            <v:imagedata r:id="rId13" o:title=""/>
          </v:shape>
          <o:OLEObject Type="Embed" ProgID="Excel.Sheet.12" ShapeID="_x0000_i1027" DrawAspect="Content" ObjectID="_1637583127" r:id="rId14"/>
        </w:object>
      </w:r>
    </w:p>
    <w:p w:rsidR="00EE4245" w:rsidRDefault="00EE4245" w:rsidP="00D50216"/>
    <w:p w:rsidR="00EE4245" w:rsidRPr="005A42B1" w:rsidRDefault="00EE4245" w:rsidP="00EE4245">
      <w:pPr>
        <w:spacing w:after="0" w:line="240" w:lineRule="auto"/>
        <w:rPr>
          <w:rFonts w:ascii="Palatino Linotype" w:hAnsi="Palatino Linotype"/>
          <w:b/>
          <w:i/>
        </w:rPr>
      </w:pPr>
      <w:r w:rsidRPr="005A42B1">
        <w:rPr>
          <w:rFonts w:ascii="Palatino Linotype" w:hAnsi="Palatino Linotype"/>
          <w:b/>
          <w:i/>
        </w:rPr>
        <w:t xml:space="preserve">For </w:t>
      </w:r>
      <w:r>
        <w:rPr>
          <w:rFonts w:ascii="Palatino Linotype" w:hAnsi="Palatino Linotype"/>
          <w:b/>
          <w:i/>
        </w:rPr>
        <w:t>r</w:t>
      </w:r>
      <w:r w:rsidRPr="005A42B1">
        <w:rPr>
          <w:rFonts w:ascii="Palatino Linotype" w:hAnsi="Palatino Linotype"/>
          <w:b/>
          <w:i/>
        </w:rPr>
        <w:t xml:space="preserve">eference </w:t>
      </w:r>
      <w:r>
        <w:rPr>
          <w:rFonts w:ascii="Palatino Linotype" w:hAnsi="Palatino Linotype"/>
          <w:b/>
          <w:i/>
        </w:rPr>
        <w:t>o</w:t>
      </w:r>
      <w:r w:rsidRPr="005A42B1">
        <w:rPr>
          <w:rFonts w:ascii="Palatino Linotype" w:hAnsi="Palatino Linotype"/>
          <w:b/>
          <w:i/>
        </w:rPr>
        <w:t>nly:</w:t>
      </w:r>
    </w:p>
    <w:p w:rsidR="00EE4245" w:rsidRPr="005A42B1" w:rsidRDefault="00EE4245" w:rsidP="00EE4245">
      <w:pPr>
        <w:spacing w:after="0" w:line="240" w:lineRule="auto"/>
        <w:rPr>
          <w:rFonts w:ascii="Palatino Linotype" w:hAnsi="Palatino Linotype"/>
          <w:i/>
        </w:rPr>
      </w:pPr>
      <w:r w:rsidRPr="005A42B1">
        <w:rPr>
          <w:rFonts w:ascii="Palatino Linotype" w:hAnsi="Palatino Linotype"/>
          <w:vertAlign w:val="superscript"/>
        </w:rPr>
        <w:t>A</w:t>
      </w:r>
      <w:r w:rsidRPr="005A42B1">
        <w:rPr>
          <w:rFonts w:ascii="Palatino Linotype" w:hAnsi="Palatino Linotype"/>
          <w:i/>
        </w:rPr>
        <w:t xml:space="preserve">Employer Covered-Employee Payroll as </w:t>
      </w:r>
      <w:r>
        <w:rPr>
          <w:rFonts w:ascii="Palatino Linotype" w:hAnsi="Palatino Linotype"/>
          <w:i/>
        </w:rPr>
        <w:t>reported to LASERS during the measurement periods presented.</w:t>
      </w:r>
    </w:p>
    <w:p w:rsidR="00EE4245" w:rsidRPr="000C3CD1" w:rsidRDefault="00EE4245" w:rsidP="00EE4245">
      <w:pPr>
        <w:spacing w:after="0" w:line="240" w:lineRule="auto"/>
        <w:rPr>
          <w:rFonts w:ascii="Palatino Linotype" w:hAnsi="Palatino Linotype"/>
          <w:i/>
        </w:rPr>
      </w:pPr>
      <w:r w:rsidRPr="005A42B1">
        <w:rPr>
          <w:rFonts w:ascii="Palatino Linotype" w:hAnsi="Palatino Linotype"/>
          <w:vertAlign w:val="superscript"/>
        </w:rPr>
        <w:t>B</w:t>
      </w:r>
      <w:r w:rsidRPr="005A42B1">
        <w:rPr>
          <w:rFonts w:ascii="Palatino Linotype" w:hAnsi="Palatino Linotype"/>
          <w:i/>
        </w:rPr>
        <w:t xml:space="preserve"> </w:t>
      </w:r>
      <w:r>
        <w:rPr>
          <w:rFonts w:ascii="Palatino Linotype" w:hAnsi="Palatino Linotype"/>
          <w:i/>
        </w:rPr>
        <w:t>Refer to LASE</w:t>
      </w:r>
      <w:r w:rsidR="00B85B23">
        <w:rPr>
          <w:rFonts w:ascii="Palatino Linotype" w:hAnsi="Palatino Linotype"/>
          <w:i/>
        </w:rPr>
        <w:t>RS CAFR Schedule of Change in Net Pension Liability.  Pl</w:t>
      </w:r>
      <w:r w:rsidR="00C21D7A">
        <w:rPr>
          <w:rFonts w:ascii="Palatino Linotype" w:hAnsi="Palatino Linotype"/>
          <w:i/>
        </w:rPr>
        <w:t>ease Note the Employer year 2020</w:t>
      </w:r>
      <w:r w:rsidR="00B85B23">
        <w:rPr>
          <w:rFonts w:ascii="Palatino Linotype" w:hAnsi="Palatino Linotype"/>
          <w:i/>
        </w:rPr>
        <w:t xml:space="preserve"> is equ</w:t>
      </w:r>
      <w:r w:rsidR="00C21D7A">
        <w:rPr>
          <w:rFonts w:ascii="Palatino Linotype" w:hAnsi="Palatino Linotype"/>
          <w:i/>
        </w:rPr>
        <w:t>ivalent to LASERS CAFR Year 2019</w:t>
      </w:r>
      <w:r w:rsidR="00B85B23">
        <w:rPr>
          <w:rFonts w:ascii="Palatino Linotype" w:hAnsi="Palatino Linotype"/>
          <w:i/>
        </w:rPr>
        <w:t>.</w:t>
      </w:r>
    </w:p>
    <w:p w:rsidR="00EE4245" w:rsidRDefault="00EE4245" w:rsidP="00D50216"/>
    <w:p w:rsidR="00F7363C" w:rsidRDefault="00F7363C" w:rsidP="00D50216"/>
    <w:p w:rsidR="00601D7C" w:rsidRDefault="00601D7C" w:rsidP="00D50216">
      <w:bookmarkStart w:id="3" w:name="_MON_1579077606"/>
      <w:bookmarkEnd w:id="3"/>
    </w:p>
    <w:bookmarkStart w:id="4" w:name="_MON_1579319340"/>
    <w:bookmarkEnd w:id="4"/>
    <w:p w:rsidR="00601D7C" w:rsidRPr="00601D7C" w:rsidRDefault="00087EBB" w:rsidP="00601D7C">
      <w:r>
        <w:object w:dxaOrig="15113" w:dyaOrig="5837">
          <v:shape id="_x0000_i1028" type="#_x0000_t75" style="width:756pt;height:292.5pt" o:ole="">
            <v:imagedata r:id="rId15" o:title=""/>
          </v:shape>
          <o:OLEObject Type="Embed" ProgID="Excel.Sheet.12" ShapeID="_x0000_i1028" DrawAspect="Content" ObjectID="_1637583128" r:id="rId16"/>
        </w:object>
      </w:r>
    </w:p>
    <w:p w:rsidR="00601D7C" w:rsidRDefault="00601D7C" w:rsidP="00601D7C">
      <w:pPr>
        <w:tabs>
          <w:tab w:val="center" w:pos="1102"/>
        </w:tabs>
      </w:pPr>
    </w:p>
    <w:p w:rsidR="00601D7C" w:rsidRPr="005A42B1" w:rsidRDefault="00601D7C" w:rsidP="00601D7C">
      <w:pPr>
        <w:spacing w:after="0" w:line="240" w:lineRule="auto"/>
        <w:rPr>
          <w:rFonts w:ascii="Palatino Linotype" w:hAnsi="Palatino Linotype"/>
          <w:b/>
          <w:i/>
        </w:rPr>
      </w:pPr>
      <w:r w:rsidRPr="005A42B1">
        <w:rPr>
          <w:rFonts w:ascii="Palatino Linotype" w:hAnsi="Palatino Linotype"/>
          <w:b/>
          <w:i/>
        </w:rPr>
        <w:t xml:space="preserve">For </w:t>
      </w:r>
      <w:r>
        <w:rPr>
          <w:rFonts w:ascii="Palatino Linotype" w:hAnsi="Palatino Linotype"/>
          <w:b/>
          <w:i/>
        </w:rPr>
        <w:t>r</w:t>
      </w:r>
      <w:r w:rsidRPr="005A42B1">
        <w:rPr>
          <w:rFonts w:ascii="Palatino Linotype" w:hAnsi="Palatino Linotype"/>
          <w:b/>
          <w:i/>
        </w:rPr>
        <w:t xml:space="preserve">eference </w:t>
      </w:r>
      <w:r>
        <w:rPr>
          <w:rFonts w:ascii="Palatino Linotype" w:hAnsi="Palatino Linotype"/>
          <w:b/>
          <w:i/>
        </w:rPr>
        <w:t>o</w:t>
      </w:r>
      <w:r w:rsidRPr="005A42B1">
        <w:rPr>
          <w:rFonts w:ascii="Palatino Linotype" w:hAnsi="Palatino Linotype"/>
          <w:b/>
          <w:i/>
        </w:rPr>
        <w:t>nly:</w:t>
      </w:r>
    </w:p>
    <w:p w:rsidR="00601D7C" w:rsidRPr="005A42B1" w:rsidRDefault="00601D7C" w:rsidP="00601D7C">
      <w:pPr>
        <w:spacing w:after="0" w:line="240" w:lineRule="auto"/>
        <w:rPr>
          <w:rFonts w:ascii="Palatino Linotype" w:hAnsi="Palatino Linotype"/>
          <w:i/>
        </w:rPr>
      </w:pPr>
      <w:r w:rsidRPr="005A42B1">
        <w:rPr>
          <w:rFonts w:ascii="Palatino Linotype" w:hAnsi="Palatino Linotype"/>
          <w:vertAlign w:val="superscript"/>
        </w:rPr>
        <w:t>1</w:t>
      </w:r>
      <w:r w:rsidRPr="005A42B1">
        <w:rPr>
          <w:rFonts w:ascii="Palatino Linotype" w:hAnsi="Palatino Linotype"/>
          <w:b/>
          <w:i/>
        </w:rPr>
        <w:t xml:space="preserve"> </w:t>
      </w:r>
      <w:r w:rsidRPr="005A42B1">
        <w:rPr>
          <w:rFonts w:ascii="Palatino Linotype" w:hAnsi="Palatino Linotype"/>
          <w:i/>
        </w:rPr>
        <w:t>Employer contribution rate multiplied by employer’s covered employee payroll</w:t>
      </w:r>
      <w:r>
        <w:rPr>
          <w:rFonts w:ascii="Palatino Linotype" w:hAnsi="Palatino Linotype"/>
          <w:i/>
        </w:rPr>
        <w:t>.</w:t>
      </w:r>
    </w:p>
    <w:p w:rsidR="00601D7C" w:rsidRPr="005A42B1" w:rsidRDefault="00601D7C" w:rsidP="00601D7C">
      <w:pPr>
        <w:spacing w:after="0" w:line="240" w:lineRule="auto"/>
        <w:rPr>
          <w:rFonts w:ascii="Palatino Linotype" w:hAnsi="Palatino Linotype"/>
          <w:i/>
        </w:rPr>
      </w:pPr>
      <w:r w:rsidRPr="005A42B1">
        <w:rPr>
          <w:rFonts w:ascii="Palatino Linotype" w:hAnsi="Palatino Linotype"/>
          <w:vertAlign w:val="superscript"/>
        </w:rPr>
        <w:t>2</w:t>
      </w:r>
      <w:r w:rsidRPr="005A42B1">
        <w:rPr>
          <w:rFonts w:ascii="Palatino Linotype" w:hAnsi="Palatino Linotype"/>
          <w:i/>
        </w:rPr>
        <w:t xml:space="preserve"> Actual employer contributions remitted to LASERS</w:t>
      </w:r>
      <w:r>
        <w:rPr>
          <w:rFonts w:ascii="Palatino Linotype" w:hAnsi="Palatino Linotype"/>
          <w:i/>
        </w:rPr>
        <w:t>.</w:t>
      </w:r>
    </w:p>
    <w:p w:rsidR="00601D7C" w:rsidRPr="005A42B1" w:rsidRDefault="00601D7C" w:rsidP="00601D7C">
      <w:pPr>
        <w:spacing w:after="0" w:line="240" w:lineRule="auto"/>
        <w:rPr>
          <w:rFonts w:ascii="Palatino Linotype" w:hAnsi="Palatino Linotype"/>
          <w:i/>
        </w:rPr>
      </w:pPr>
      <w:r w:rsidRPr="005A42B1">
        <w:rPr>
          <w:rFonts w:ascii="Palatino Linotype" w:hAnsi="Palatino Linotype"/>
          <w:vertAlign w:val="superscript"/>
        </w:rPr>
        <w:t>3</w:t>
      </w:r>
      <w:r w:rsidRPr="005A42B1">
        <w:rPr>
          <w:rFonts w:ascii="Palatino Linotype" w:hAnsi="Palatino Linotype"/>
          <w:i/>
        </w:rPr>
        <w:t xml:space="preserve"> Employer’s covered employee payroll amount </w:t>
      </w:r>
      <w:r>
        <w:rPr>
          <w:rFonts w:ascii="Palatino Linotype" w:hAnsi="Palatino Linotype"/>
          <w:i/>
        </w:rPr>
        <w:t>for the fiscal years presented.</w:t>
      </w:r>
    </w:p>
    <w:p w:rsidR="00601D7C" w:rsidRDefault="00601D7C" w:rsidP="00601D7C">
      <w:pPr>
        <w:tabs>
          <w:tab w:val="center" w:pos="1102"/>
        </w:tabs>
      </w:pPr>
    </w:p>
    <w:p w:rsidR="00601D7C" w:rsidRDefault="00601D7C" w:rsidP="00601D7C">
      <w:pPr>
        <w:tabs>
          <w:tab w:val="center" w:pos="1102"/>
        </w:tabs>
      </w:pPr>
    </w:p>
    <w:p w:rsidR="00601D7C" w:rsidRDefault="00601D7C" w:rsidP="00601D7C">
      <w:pPr>
        <w:tabs>
          <w:tab w:val="center" w:pos="1102"/>
        </w:tabs>
      </w:pPr>
    </w:p>
    <w:p w:rsidR="00601D7C" w:rsidRDefault="00601D7C" w:rsidP="00601D7C">
      <w:pPr>
        <w:tabs>
          <w:tab w:val="center" w:pos="1102"/>
        </w:tabs>
      </w:pPr>
    </w:p>
    <w:p w:rsidR="00A737FE" w:rsidRDefault="00A737FE" w:rsidP="00601D7C">
      <w:pPr>
        <w:rPr>
          <w:rFonts w:ascii="Palatino Linotype" w:hAnsi="Palatino Linotype"/>
          <w:b/>
          <w:sz w:val="24"/>
          <w:szCs w:val="24"/>
        </w:rPr>
        <w:sectPr w:rsidR="00A737FE" w:rsidSect="00612E58">
          <w:pgSz w:w="15840" w:h="12240" w:orient="landscape"/>
          <w:pgMar w:top="1008" w:right="720" w:bottom="1008" w:left="720" w:header="720" w:footer="720" w:gutter="0"/>
          <w:cols w:space="720"/>
          <w:docGrid w:linePitch="360"/>
        </w:sectPr>
      </w:pPr>
    </w:p>
    <w:p w:rsidR="00A737FE" w:rsidRPr="00087EBB" w:rsidRDefault="00A737FE" w:rsidP="00A737FE">
      <w:pPr>
        <w:rPr>
          <w:rFonts w:ascii="Palatino Linotype" w:hAnsi="Palatino Linotype"/>
          <w:b/>
          <w:sz w:val="28"/>
          <w:szCs w:val="28"/>
        </w:rPr>
      </w:pPr>
      <w:r w:rsidRPr="00087EBB">
        <w:rPr>
          <w:rFonts w:ascii="Palatino Linotype" w:hAnsi="Palatino Linotype"/>
          <w:b/>
          <w:sz w:val="28"/>
          <w:szCs w:val="28"/>
        </w:rPr>
        <w:lastRenderedPageBreak/>
        <w:t xml:space="preserve">Notes to Required Supplementary Information </w:t>
      </w:r>
    </w:p>
    <w:p w:rsidR="00A737FE" w:rsidRPr="00C46936" w:rsidRDefault="00A737FE" w:rsidP="00A737FE">
      <w:pPr>
        <w:pStyle w:val="ListParagraph"/>
        <w:numPr>
          <w:ilvl w:val="0"/>
          <w:numId w:val="4"/>
        </w:numPr>
        <w:rPr>
          <w:rFonts w:ascii="Palatino Linotype" w:hAnsi="Palatino Linotype"/>
          <w:b/>
          <w:sz w:val="22"/>
          <w:szCs w:val="22"/>
        </w:rPr>
      </w:pPr>
      <w:r w:rsidRPr="00C46936">
        <w:rPr>
          <w:rFonts w:ascii="Palatino Linotype" w:hAnsi="Palatino Linotype"/>
          <w:b/>
          <w:sz w:val="22"/>
          <w:szCs w:val="22"/>
        </w:rPr>
        <w:t>Schedule of Employer’s Share of the Net Pension Liability</w:t>
      </w:r>
    </w:p>
    <w:p w:rsidR="00A737FE" w:rsidRPr="00C46936" w:rsidRDefault="00A737FE" w:rsidP="00087EBB">
      <w:pPr>
        <w:ind w:left="360"/>
        <w:jc w:val="both"/>
        <w:rPr>
          <w:rFonts w:ascii="Palatino Linotype" w:hAnsi="Palatino Linotype"/>
        </w:rPr>
      </w:pPr>
      <w:r w:rsidRPr="00C46936">
        <w:rPr>
          <w:rFonts w:ascii="Palatino Linotype" w:hAnsi="Palatino Linotype"/>
        </w:rPr>
        <w:t>This schedule reflects the participation of [</w:t>
      </w:r>
      <w:r w:rsidRPr="00187A44">
        <w:rPr>
          <w:rFonts w:ascii="Palatino Linotype" w:hAnsi="Palatino Linotype"/>
          <w:highlight w:val="yellow"/>
        </w:rPr>
        <w:t>Agency Name</w:t>
      </w:r>
      <w:r w:rsidRPr="00C46936">
        <w:rPr>
          <w:rFonts w:ascii="Palatino Linotype" w:hAnsi="Palatino Linotype"/>
        </w:rPr>
        <w:t>]’s employees in LASERS and its proportionate share of the net pension liability as a percentage of its covered employee payroll, and the plan fiduciary net position as a percentage of the total pension liability.</w:t>
      </w:r>
    </w:p>
    <w:p w:rsidR="00A737FE" w:rsidRPr="00C46936" w:rsidRDefault="00A737FE" w:rsidP="00A737FE">
      <w:pPr>
        <w:pStyle w:val="ListParagraph"/>
        <w:numPr>
          <w:ilvl w:val="0"/>
          <w:numId w:val="4"/>
        </w:numPr>
        <w:rPr>
          <w:rFonts w:ascii="Palatino Linotype" w:hAnsi="Palatino Linotype"/>
          <w:b/>
          <w:sz w:val="22"/>
          <w:szCs w:val="22"/>
        </w:rPr>
      </w:pPr>
      <w:r w:rsidRPr="00C46936">
        <w:rPr>
          <w:rFonts w:ascii="Palatino Linotype" w:hAnsi="Palatino Linotype"/>
          <w:b/>
          <w:sz w:val="22"/>
          <w:szCs w:val="22"/>
        </w:rPr>
        <w:t>Schedule of Employer’s Contributions</w:t>
      </w:r>
    </w:p>
    <w:p w:rsidR="00A737FE" w:rsidRPr="00C46936" w:rsidRDefault="00A737FE" w:rsidP="00087EBB">
      <w:pPr>
        <w:ind w:left="360"/>
        <w:jc w:val="both"/>
        <w:rPr>
          <w:rFonts w:ascii="Palatino Linotype" w:hAnsi="Palatino Linotype"/>
        </w:rPr>
      </w:pPr>
      <w:r w:rsidRPr="00C46936">
        <w:rPr>
          <w:rFonts w:ascii="Palatino Linotype" w:hAnsi="Palatino Linotype"/>
        </w:rPr>
        <w:t xml:space="preserve">This schedule represents the employer contributions subsequent to the measurement date and recognized as a reduction of the net pension liability in future years.  </w:t>
      </w:r>
    </w:p>
    <w:p w:rsidR="00A737FE" w:rsidRPr="00C46936" w:rsidRDefault="00A737FE" w:rsidP="00A737FE">
      <w:pPr>
        <w:pStyle w:val="ListParagraph"/>
        <w:numPr>
          <w:ilvl w:val="0"/>
          <w:numId w:val="4"/>
        </w:numPr>
        <w:rPr>
          <w:rFonts w:ascii="Palatino Linotype" w:hAnsi="Palatino Linotype"/>
          <w:b/>
          <w:sz w:val="22"/>
          <w:szCs w:val="22"/>
        </w:rPr>
      </w:pPr>
      <w:r w:rsidRPr="00C46936">
        <w:rPr>
          <w:rFonts w:ascii="Palatino Linotype" w:hAnsi="Palatino Linotype"/>
          <w:b/>
          <w:sz w:val="22"/>
          <w:szCs w:val="22"/>
        </w:rPr>
        <w:t xml:space="preserve"> Actuarial Assumptions for Net Pension Liability</w:t>
      </w:r>
    </w:p>
    <w:p w:rsidR="00030003" w:rsidRPr="00C46936" w:rsidRDefault="00030003" w:rsidP="00A737FE">
      <w:pPr>
        <w:rPr>
          <w:rFonts w:ascii="Palatino Linotype" w:hAnsi="Palatino Linotype"/>
        </w:rPr>
      </w:pPr>
    </w:p>
    <w:tbl>
      <w:tblPr>
        <w:tblW w:w="963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480"/>
      </w:tblGrid>
      <w:tr w:rsidR="00A737FE" w:rsidRPr="00C46936" w:rsidTr="00CD7A6C">
        <w:trPr>
          <w:trHeight w:val="333"/>
        </w:trPr>
        <w:tc>
          <w:tcPr>
            <w:tcW w:w="3150" w:type="dxa"/>
            <w:tcBorders>
              <w:top w:val="nil"/>
              <w:left w:val="nil"/>
              <w:bottom w:val="nil"/>
              <w:right w:val="nil"/>
            </w:tcBorders>
          </w:tcPr>
          <w:p w:rsidR="00A737FE" w:rsidRPr="00C46936" w:rsidRDefault="00A737FE" w:rsidP="00BE4292">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0" w:line="240" w:lineRule="auto"/>
              <w:rPr>
                <w:rFonts w:ascii="Palatino Linotype" w:hAnsi="Palatino Linotype"/>
                <w:b/>
              </w:rPr>
            </w:pPr>
            <w:r>
              <w:rPr>
                <w:rFonts w:ascii="Palatino Linotype" w:hAnsi="Palatino Linotype"/>
                <w:b/>
              </w:rPr>
              <w:t>Valuation Date</w:t>
            </w:r>
          </w:p>
        </w:tc>
        <w:tc>
          <w:tcPr>
            <w:tcW w:w="6480" w:type="dxa"/>
            <w:tcBorders>
              <w:top w:val="nil"/>
              <w:left w:val="nil"/>
              <w:bottom w:val="nil"/>
              <w:right w:val="nil"/>
            </w:tcBorders>
          </w:tcPr>
          <w:p w:rsidR="00A737FE" w:rsidRPr="00C46936" w:rsidRDefault="00A737FE" w:rsidP="00BE4292">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0" w:line="240" w:lineRule="auto"/>
              <w:jc w:val="both"/>
              <w:rPr>
                <w:rFonts w:ascii="Palatino Linotype" w:hAnsi="Palatino Linotype"/>
              </w:rPr>
            </w:pPr>
            <w:r w:rsidRPr="00C46936">
              <w:rPr>
                <w:rFonts w:ascii="Palatino Linotype" w:hAnsi="Palatino Linotype"/>
              </w:rPr>
              <w:t>June 30, [</w:t>
            </w:r>
            <w:r w:rsidRPr="002C15D9">
              <w:rPr>
                <w:rFonts w:ascii="Palatino Linotype" w:hAnsi="Palatino Linotype"/>
                <w:highlight w:val="yellow"/>
              </w:rPr>
              <w:t>Current Year</w:t>
            </w:r>
            <w:r>
              <w:rPr>
                <w:rFonts w:ascii="Palatino Linotype" w:hAnsi="Palatino Linotype"/>
              </w:rPr>
              <w:t xml:space="preserve">] </w:t>
            </w:r>
          </w:p>
        </w:tc>
      </w:tr>
      <w:tr w:rsidR="00A737FE" w:rsidRPr="00C46936" w:rsidTr="00CD7A6C">
        <w:trPr>
          <w:trHeight w:val="214"/>
        </w:trPr>
        <w:tc>
          <w:tcPr>
            <w:tcW w:w="3150" w:type="dxa"/>
            <w:tcBorders>
              <w:top w:val="nil"/>
              <w:left w:val="nil"/>
              <w:bottom w:val="nil"/>
              <w:right w:val="nil"/>
            </w:tcBorders>
          </w:tcPr>
          <w:p w:rsidR="00A737FE" w:rsidRPr="00C46936" w:rsidRDefault="00A737FE" w:rsidP="00BE4292">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0" w:line="240" w:lineRule="auto"/>
              <w:rPr>
                <w:rFonts w:ascii="Palatino Linotype" w:hAnsi="Palatino Linotype"/>
                <w:b/>
              </w:rPr>
            </w:pPr>
            <w:r w:rsidRPr="00C46936">
              <w:rPr>
                <w:rFonts w:ascii="Palatino Linotype" w:hAnsi="Palatino Linotype"/>
                <w:b/>
              </w:rPr>
              <w:t>Actuarial Cost Method</w:t>
            </w:r>
          </w:p>
        </w:tc>
        <w:tc>
          <w:tcPr>
            <w:tcW w:w="6480" w:type="dxa"/>
            <w:tcBorders>
              <w:top w:val="nil"/>
              <w:left w:val="nil"/>
              <w:bottom w:val="nil"/>
              <w:right w:val="nil"/>
            </w:tcBorders>
          </w:tcPr>
          <w:p w:rsidR="00A737FE" w:rsidRPr="00C46936" w:rsidRDefault="00A737FE" w:rsidP="00BE4292">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0" w:line="240" w:lineRule="auto"/>
              <w:jc w:val="both"/>
              <w:rPr>
                <w:rFonts w:ascii="Palatino Linotype" w:hAnsi="Palatino Linotype"/>
              </w:rPr>
            </w:pPr>
            <w:r w:rsidRPr="00C46936">
              <w:rPr>
                <w:rFonts w:ascii="Palatino Linotype" w:hAnsi="Palatino Linotype"/>
              </w:rPr>
              <w:t>Entry Age Normal</w:t>
            </w:r>
          </w:p>
        </w:tc>
      </w:tr>
      <w:tr w:rsidR="00030003" w:rsidRPr="00C46936" w:rsidTr="00CD7A6C">
        <w:trPr>
          <w:trHeight w:val="214"/>
        </w:trPr>
        <w:tc>
          <w:tcPr>
            <w:tcW w:w="3150" w:type="dxa"/>
            <w:tcBorders>
              <w:top w:val="nil"/>
              <w:left w:val="nil"/>
              <w:bottom w:val="nil"/>
              <w:right w:val="nil"/>
            </w:tcBorders>
          </w:tcPr>
          <w:p w:rsidR="00030003" w:rsidRPr="00C46936" w:rsidRDefault="00030003" w:rsidP="00CD7A6C">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line="240" w:lineRule="auto"/>
              <w:rPr>
                <w:rFonts w:ascii="Palatino Linotype" w:hAnsi="Palatino Linotype"/>
                <w:b/>
              </w:rPr>
            </w:pPr>
            <w:r>
              <w:rPr>
                <w:rFonts w:ascii="Palatino Linotype" w:hAnsi="Palatino Linotype"/>
                <w:b/>
              </w:rPr>
              <w:t>Actuarial Assumptions:</w:t>
            </w:r>
          </w:p>
        </w:tc>
        <w:tc>
          <w:tcPr>
            <w:tcW w:w="6480" w:type="dxa"/>
            <w:tcBorders>
              <w:top w:val="nil"/>
              <w:left w:val="nil"/>
              <w:bottom w:val="nil"/>
              <w:right w:val="nil"/>
            </w:tcBorders>
          </w:tcPr>
          <w:p w:rsidR="00030003" w:rsidRPr="00C46936" w:rsidRDefault="00030003" w:rsidP="00CD7A6C">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line="240" w:lineRule="auto"/>
              <w:jc w:val="both"/>
              <w:rPr>
                <w:rFonts w:ascii="Palatino Linotype" w:hAnsi="Palatino Linotype"/>
              </w:rPr>
            </w:pPr>
          </w:p>
        </w:tc>
      </w:tr>
      <w:tr w:rsidR="00A737FE" w:rsidRPr="00C46936" w:rsidTr="00CD7A6C">
        <w:trPr>
          <w:trHeight w:val="2805"/>
        </w:trPr>
        <w:tc>
          <w:tcPr>
            <w:tcW w:w="3150" w:type="dxa"/>
            <w:tcBorders>
              <w:top w:val="nil"/>
              <w:left w:val="nil"/>
              <w:bottom w:val="nil"/>
              <w:right w:val="nil"/>
            </w:tcBorders>
            <w:shd w:val="clear" w:color="auto" w:fill="auto"/>
          </w:tcPr>
          <w:p w:rsidR="00A737FE" w:rsidRDefault="00A737FE" w:rsidP="00CD7A6C">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line="240" w:lineRule="auto"/>
              <w:ind w:left="158" w:hanging="72"/>
              <w:rPr>
                <w:rFonts w:ascii="Palatino Linotype" w:hAnsi="Palatino Linotype"/>
                <w:b/>
              </w:rPr>
            </w:pPr>
            <w:r>
              <w:rPr>
                <w:rFonts w:ascii="Palatino Linotype" w:hAnsi="Palatino Linotype"/>
                <w:b/>
              </w:rPr>
              <w:t xml:space="preserve">Expected Remaining </w:t>
            </w:r>
            <w:r w:rsidR="00030003">
              <w:rPr>
                <w:rFonts w:ascii="Palatino Linotype" w:hAnsi="Palatino Linotype"/>
                <w:b/>
              </w:rPr>
              <w:t>Service Lives</w:t>
            </w:r>
          </w:p>
          <w:p w:rsidR="00A737FE" w:rsidRPr="00C46936" w:rsidRDefault="00A737FE" w:rsidP="00CD7A6C">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line="240" w:lineRule="auto"/>
              <w:ind w:left="158" w:hanging="72"/>
              <w:rPr>
                <w:rFonts w:ascii="Palatino Linotype" w:hAnsi="Palatino Linotype"/>
                <w:b/>
              </w:rPr>
            </w:pPr>
            <w:r w:rsidRPr="00C46936">
              <w:rPr>
                <w:rFonts w:ascii="Palatino Linotype" w:hAnsi="Palatino Linotype"/>
                <w:b/>
              </w:rPr>
              <w:t>Investment Rate of Return</w:t>
            </w:r>
          </w:p>
          <w:p w:rsidR="00A737FE" w:rsidRPr="00C46936" w:rsidRDefault="00A737FE" w:rsidP="00CD7A6C">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line="240" w:lineRule="auto"/>
              <w:ind w:left="158" w:hanging="72"/>
              <w:rPr>
                <w:rFonts w:ascii="Palatino Linotype" w:hAnsi="Palatino Linotype"/>
                <w:b/>
              </w:rPr>
            </w:pPr>
            <w:r w:rsidRPr="00C46936">
              <w:rPr>
                <w:rFonts w:ascii="Palatino Linotype" w:hAnsi="Palatino Linotype"/>
                <w:b/>
              </w:rPr>
              <w:t>Inflation Rate</w:t>
            </w:r>
          </w:p>
          <w:p w:rsidR="00A737FE" w:rsidRPr="00C46936" w:rsidRDefault="00A737FE" w:rsidP="00CD7A6C">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line="240" w:lineRule="auto"/>
              <w:ind w:left="158" w:hanging="72"/>
              <w:rPr>
                <w:rFonts w:ascii="Palatino Linotype" w:hAnsi="Palatino Linotype"/>
                <w:b/>
              </w:rPr>
            </w:pPr>
            <w:r w:rsidRPr="00C46936">
              <w:rPr>
                <w:rFonts w:ascii="Palatino Linotype" w:hAnsi="Palatino Linotype"/>
                <w:b/>
              </w:rPr>
              <w:t>Mortality</w:t>
            </w:r>
          </w:p>
        </w:tc>
        <w:tc>
          <w:tcPr>
            <w:tcW w:w="6480" w:type="dxa"/>
            <w:tcBorders>
              <w:top w:val="nil"/>
              <w:left w:val="nil"/>
              <w:bottom w:val="nil"/>
              <w:right w:val="nil"/>
            </w:tcBorders>
            <w:shd w:val="clear" w:color="auto" w:fill="auto"/>
            <w:vAlign w:val="bottom"/>
          </w:tcPr>
          <w:p w:rsidR="00A737FE" w:rsidRDefault="00C21D7A" w:rsidP="00CD7A6C">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before="240" w:after="120" w:line="240" w:lineRule="auto"/>
              <w:jc w:val="both"/>
              <w:rPr>
                <w:rFonts w:ascii="Palatino Linotype" w:hAnsi="Palatino Linotype"/>
              </w:rPr>
            </w:pPr>
            <w:r>
              <w:rPr>
                <w:rFonts w:ascii="Palatino Linotype" w:hAnsi="Palatino Linotype"/>
              </w:rPr>
              <w:t>2</w:t>
            </w:r>
            <w:r w:rsidR="00A737FE">
              <w:rPr>
                <w:rFonts w:ascii="Palatino Linotype" w:hAnsi="Palatino Linotype"/>
              </w:rPr>
              <w:t xml:space="preserve"> Years</w:t>
            </w:r>
          </w:p>
          <w:p w:rsidR="00A737FE" w:rsidRPr="00C46936" w:rsidRDefault="00A737FE" w:rsidP="00CD7A6C">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line="240" w:lineRule="auto"/>
              <w:jc w:val="both"/>
              <w:rPr>
                <w:rFonts w:ascii="Palatino Linotype" w:hAnsi="Palatino Linotype"/>
              </w:rPr>
            </w:pPr>
            <w:r w:rsidRPr="00C46936">
              <w:rPr>
                <w:rFonts w:ascii="Palatino Linotype" w:hAnsi="Palatino Linotype"/>
              </w:rPr>
              <w:t>[</w:t>
            </w:r>
            <w:r w:rsidRPr="00A737FE">
              <w:rPr>
                <w:rFonts w:ascii="Palatino Linotype" w:hAnsi="Palatino Linotype"/>
                <w:highlight w:val="yellow"/>
              </w:rPr>
              <w:t>#</w:t>
            </w:r>
            <w:r w:rsidRPr="00C46936">
              <w:rPr>
                <w:rFonts w:ascii="Palatino Linotype" w:hAnsi="Palatino Linotype"/>
              </w:rPr>
              <w:t xml:space="preserve">] % </w:t>
            </w:r>
            <w:r>
              <w:rPr>
                <w:rFonts w:ascii="Palatino Linotype" w:hAnsi="Palatino Linotype"/>
              </w:rPr>
              <w:t xml:space="preserve">per annum for current year </w:t>
            </w:r>
          </w:p>
          <w:p w:rsidR="00A737FE" w:rsidRPr="00C46936" w:rsidRDefault="00A737FE" w:rsidP="00CD7A6C">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line="240" w:lineRule="auto"/>
              <w:jc w:val="both"/>
              <w:rPr>
                <w:rFonts w:ascii="Palatino Linotype" w:hAnsi="Palatino Linotype"/>
              </w:rPr>
            </w:pPr>
            <w:r w:rsidRPr="00A737FE">
              <w:rPr>
                <w:rFonts w:ascii="Palatino Linotype" w:hAnsi="Palatino Linotype"/>
                <w:highlight w:val="yellow"/>
              </w:rPr>
              <w:t>[#</w:t>
            </w:r>
            <w:r w:rsidRPr="00C46936">
              <w:rPr>
                <w:rFonts w:ascii="Palatino Linotype" w:hAnsi="Palatino Linotype"/>
              </w:rPr>
              <w:t>] % per annum for current ye</w:t>
            </w:r>
            <w:r>
              <w:rPr>
                <w:rFonts w:ascii="Palatino Linotype" w:hAnsi="Palatino Linotype"/>
              </w:rPr>
              <w:t xml:space="preserve">ar </w:t>
            </w:r>
          </w:p>
          <w:p w:rsidR="00A737FE" w:rsidRPr="00C46936" w:rsidRDefault="00A737FE" w:rsidP="00CD7A6C">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line="240" w:lineRule="auto"/>
              <w:jc w:val="both"/>
              <w:rPr>
                <w:rFonts w:ascii="Palatino Linotype" w:hAnsi="Palatino Linotype"/>
              </w:rPr>
            </w:pPr>
            <w:r w:rsidRPr="00C46936">
              <w:rPr>
                <w:rFonts w:ascii="Palatino Linotype" w:hAnsi="Palatino Linotype"/>
                <w:b/>
              </w:rPr>
              <w:t>Non-disabled members</w:t>
            </w:r>
            <w:r w:rsidRPr="00C46936">
              <w:rPr>
                <w:rFonts w:ascii="Palatino Linotype" w:hAnsi="Palatino Linotype"/>
              </w:rPr>
              <w:t xml:space="preserve"> - Mort</w:t>
            </w:r>
            <w:r w:rsidR="00C21D7A">
              <w:rPr>
                <w:rFonts w:ascii="Palatino Linotype" w:hAnsi="Palatino Linotype"/>
              </w:rPr>
              <w:t>ality rates based on the RP-2014</w:t>
            </w:r>
            <w:r w:rsidRPr="00C46936">
              <w:rPr>
                <w:rFonts w:ascii="Palatino Linotype" w:hAnsi="Palatino Linotype"/>
              </w:rPr>
              <w:t xml:space="preserve"> Healthy Mortality Table with </w:t>
            </w:r>
            <w:r>
              <w:rPr>
                <w:rFonts w:ascii="Palatino Linotype" w:hAnsi="Palatino Linotype"/>
              </w:rPr>
              <w:t>mortali</w:t>
            </w:r>
            <w:r w:rsidR="00C21D7A">
              <w:rPr>
                <w:rFonts w:ascii="Palatino Linotype" w:hAnsi="Palatino Linotype"/>
              </w:rPr>
              <w:t>ty improvement projected using the MP-2018 Mortality Improvement Scale, applied on a fully generational basis</w:t>
            </w:r>
            <w:r>
              <w:rPr>
                <w:rFonts w:ascii="Palatino Linotype" w:hAnsi="Palatino Linotype"/>
              </w:rPr>
              <w:t>.</w:t>
            </w:r>
          </w:p>
          <w:p w:rsidR="00A737FE" w:rsidRPr="00C46936" w:rsidRDefault="00A737FE" w:rsidP="00CD7A6C">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line="240" w:lineRule="auto"/>
              <w:jc w:val="both"/>
              <w:rPr>
                <w:rFonts w:ascii="Palatino Linotype" w:hAnsi="Palatino Linotype"/>
              </w:rPr>
            </w:pPr>
            <w:r w:rsidRPr="00C46936">
              <w:rPr>
                <w:rFonts w:ascii="Palatino Linotype" w:hAnsi="Palatino Linotype"/>
                <w:b/>
              </w:rPr>
              <w:t>Disabled members</w:t>
            </w:r>
            <w:r w:rsidRPr="00C46936">
              <w:rPr>
                <w:rFonts w:ascii="Palatino Linotype" w:hAnsi="Palatino Linotype"/>
              </w:rPr>
              <w:t xml:space="preserve"> – Mortality rates based on the RP-2000 Disabled Retiree Mortality Table, with no projection for mortality improvement.</w:t>
            </w:r>
          </w:p>
        </w:tc>
      </w:tr>
      <w:tr w:rsidR="00A737FE" w:rsidRPr="00C46936" w:rsidTr="00CD7A6C">
        <w:trPr>
          <w:trHeight w:val="954"/>
        </w:trPr>
        <w:tc>
          <w:tcPr>
            <w:tcW w:w="3150" w:type="dxa"/>
            <w:tcBorders>
              <w:top w:val="nil"/>
              <w:left w:val="nil"/>
              <w:bottom w:val="nil"/>
              <w:right w:val="nil"/>
            </w:tcBorders>
            <w:shd w:val="clear" w:color="auto" w:fill="auto"/>
          </w:tcPr>
          <w:p w:rsidR="00A737FE" w:rsidRPr="00C46936" w:rsidRDefault="00A737FE" w:rsidP="00BE4292">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rPr>
            </w:pPr>
            <w:r w:rsidRPr="00C46936">
              <w:rPr>
                <w:rFonts w:ascii="Palatino Linotype" w:hAnsi="Palatino Linotype"/>
                <w:b/>
              </w:rPr>
              <w:t>Termination, Disability, and Retirement</w:t>
            </w:r>
          </w:p>
        </w:tc>
        <w:tc>
          <w:tcPr>
            <w:tcW w:w="6480" w:type="dxa"/>
            <w:tcBorders>
              <w:top w:val="nil"/>
              <w:left w:val="nil"/>
              <w:bottom w:val="nil"/>
              <w:right w:val="nil"/>
            </w:tcBorders>
            <w:shd w:val="clear" w:color="auto" w:fill="auto"/>
          </w:tcPr>
          <w:p w:rsidR="00A737FE" w:rsidRPr="00C46936" w:rsidRDefault="00A737FE" w:rsidP="00BE4292">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rPr>
            </w:pPr>
            <w:r w:rsidRPr="00C46936">
              <w:rPr>
                <w:rFonts w:ascii="Palatino Linotype" w:hAnsi="Palatino Linotype"/>
              </w:rPr>
              <w:t>Termination,   disability,   and   retirement   assumptions were   projected    based    on a   five-year experience study</w:t>
            </w:r>
            <w:r w:rsidR="00C21D7A">
              <w:rPr>
                <w:rFonts w:ascii="Palatino Linotype" w:hAnsi="Palatino Linotype"/>
              </w:rPr>
              <w:t xml:space="preserve"> (2014-2018</w:t>
            </w:r>
            <w:r>
              <w:rPr>
                <w:rFonts w:ascii="Palatino Linotype" w:hAnsi="Palatino Linotype"/>
              </w:rPr>
              <w:t>)</w:t>
            </w:r>
            <w:r w:rsidRPr="00C46936">
              <w:rPr>
                <w:rFonts w:ascii="Palatino Linotype" w:hAnsi="Palatino Linotype"/>
              </w:rPr>
              <w:t xml:space="preserve"> of the System's members.</w:t>
            </w:r>
          </w:p>
        </w:tc>
      </w:tr>
      <w:tr w:rsidR="00087EBB" w:rsidRPr="00C46936" w:rsidTr="00CD7A6C">
        <w:trPr>
          <w:trHeight w:val="3159"/>
        </w:trPr>
        <w:tc>
          <w:tcPr>
            <w:tcW w:w="3150" w:type="dxa"/>
            <w:tcBorders>
              <w:top w:val="nil"/>
              <w:left w:val="nil"/>
              <w:bottom w:val="nil"/>
              <w:right w:val="nil"/>
            </w:tcBorders>
            <w:shd w:val="clear" w:color="auto" w:fill="auto"/>
          </w:tcPr>
          <w:p w:rsidR="00087EBB" w:rsidRDefault="00087EBB" w:rsidP="00087EBB">
            <w:pPr>
              <w:widowControl w:val="0"/>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0" w:line="240" w:lineRule="auto"/>
              <w:rPr>
                <w:rFonts w:ascii="Palatino Linotype" w:hAnsi="Palatino Linotype"/>
                <w:b/>
              </w:rPr>
            </w:pPr>
            <w:r>
              <w:rPr>
                <w:rFonts w:ascii="Palatino Linotype" w:hAnsi="Palatino Linotype"/>
                <w:b/>
              </w:rPr>
              <w:t xml:space="preserve">Salary </w:t>
            </w:r>
            <w:r w:rsidRPr="00C46936">
              <w:rPr>
                <w:rFonts w:ascii="Palatino Linotype" w:hAnsi="Palatino Linotype"/>
                <w:b/>
              </w:rPr>
              <w:t xml:space="preserve"> </w:t>
            </w:r>
            <w:r>
              <w:rPr>
                <w:rFonts w:ascii="Palatino Linotype" w:hAnsi="Palatino Linotype"/>
                <w:b/>
              </w:rPr>
              <w:t>Increases</w:t>
            </w:r>
          </w:p>
          <w:p w:rsidR="00087EBB" w:rsidRDefault="00087EBB" w:rsidP="00CD7A6C">
            <w:pPr>
              <w:widowControl w:val="0"/>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pPr>
          </w:p>
        </w:tc>
        <w:tc>
          <w:tcPr>
            <w:tcW w:w="6480" w:type="dxa"/>
            <w:tcBorders>
              <w:top w:val="nil"/>
              <w:left w:val="nil"/>
              <w:bottom w:val="nil"/>
              <w:right w:val="nil"/>
            </w:tcBorders>
            <w:shd w:val="clear" w:color="auto" w:fill="auto"/>
          </w:tcPr>
          <w:p w:rsidR="00087EBB" w:rsidRPr="00926AE6" w:rsidRDefault="00087EBB" w:rsidP="00087EBB">
            <w:pPr>
              <w:widowControl w:val="0"/>
              <w:tabs>
                <w:tab w:val="left" w:pos="-720"/>
                <w:tab w:val="left" w:pos="0"/>
                <w:tab w:val="left" w:pos="921"/>
              </w:tabs>
              <w:spacing w:after="0"/>
              <w:jc w:val="both"/>
              <w:rPr>
                <w:rFonts w:ascii="Palatino Linotype" w:hAnsi="Palatino Linotype"/>
              </w:rPr>
            </w:pPr>
            <w:r w:rsidRPr="00926AE6">
              <w:rPr>
                <w:rFonts w:ascii="Palatino Linotype" w:hAnsi="Palatino Linotype"/>
              </w:rPr>
              <w:t>Salary increase</w:t>
            </w:r>
            <w:r w:rsidR="00C21D7A">
              <w:rPr>
                <w:rFonts w:ascii="Palatino Linotype" w:hAnsi="Palatino Linotype"/>
              </w:rPr>
              <w:t>s were projected based on a 2014-2018</w:t>
            </w:r>
            <w:r w:rsidRPr="00926AE6">
              <w:rPr>
                <w:rFonts w:ascii="Palatino Linotype" w:hAnsi="Palatino Linotype"/>
              </w:rPr>
              <w:t xml:space="preserve"> experience study of the System's members.  The salary increase ranges for specific types of members are: </w:t>
            </w:r>
          </w:p>
          <w:tbl>
            <w:tblPr>
              <w:tblStyle w:val="TableGrid"/>
              <w:tblW w:w="0" w:type="auto"/>
              <w:tblInd w:w="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270"/>
              <w:gridCol w:w="1062"/>
              <w:gridCol w:w="236"/>
              <w:gridCol w:w="1016"/>
            </w:tblGrid>
            <w:tr w:rsidR="00087EBB" w:rsidRPr="00D961C5" w:rsidTr="00087EBB">
              <w:tc>
                <w:tcPr>
                  <w:tcW w:w="2077" w:type="dxa"/>
                  <w:tcBorders>
                    <w:bottom w:val="single" w:sz="4" w:space="0" w:color="auto"/>
                  </w:tcBorders>
                  <w:vAlign w:val="bottom"/>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rPr>
                  </w:pPr>
                  <w:r w:rsidRPr="00D961C5">
                    <w:rPr>
                      <w:rFonts w:ascii="Palatino Linotype" w:hAnsi="Palatino Linotype"/>
                      <w:b/>
                    </w:rPr>
                    <w:t>Member Type</w:t>
                  </w:r>
                </w:p>
              </w:tc>
              <w:tc>
                <w:tcPr>
                  <w:tcW w:w="270" w:type="dxa"/>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rPr>
                  </w:pPr>
                </w:p>
              </w:tc>
              <w:tc>
                <w:tcPr>
                  <w:tcW w:w="1062" w:type="dxa"/>
                  <w:tcBorders>
                    <w:bottom w:val="single" w:sz="4" w:space="0" w:color="auto"/>
                  </w:tcBorders>
                  <w:vAlign w:val="bottom"/>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rPr>
                  </w:pPr>
                  <w:r w:rsidRPr="00D961C5">
                    <w:rPr>
                      <w:rFonts w:ascii="Palatino Linotype" w:hAnsi="Palatino Linotype"/>
                      <w:b/>
                    </w:rPr>
                    <w:t>Lower Range</w:t>
                  </w:r>
                </w:p>
              </w:tc>
              <w:tc>
                <w:tcPr>
                  <w:tcW w:w="236" w:type="dxa"/>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rPr>
                  </w:pPr>
                </w:p>
              </w:tc>
              <w:tc>
                <w:tcPr>
                  <w:tcW w:w="1016" w:type="dxa"/>
                  <w:tcBorders>
                    <w:bottom w:val="single" w:sz="4" w:space="0" w:color="auto"/>
                  </w:tcBorders>
                  <w:vAlign w:val="bottom"/>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rPr>
                  </w:pPr>
                  <w:r w:rsidRPr="00D961C5">
                    <w:rPr>
                      <w:rFonts w:ascii="Palatino Linotype" w:hAnsi="Palatino Linotype"/>
                      <w:b/>
                    </w:rPr>
                    <w:t>Upper Range</w:t>
                  </w:r>
                </w:p>
              </w:tc>
            </w:tr>
            <w:tr w:rsidR="00087EBB" w:rsidRPr="00D961C5" w:rsidTr="00087EBB">
              <w:tc>
                <w:tcPr>
                  <w:tcW w:w="2077" w:type="dxa"/>
                  <w:tcBorders>
                    <w:top w:val="single" w:sz="4" w:space="0" w:color="auto"/>
                  </w:tcBorders>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rPr>
                  </w:pPr>
                  <w:r w:rsidRPr="00D961C5">
                    <w:rPr>
                      <w:rFonts w:ascii="Palatino Linotype" w:hAnsi="Palatino Linotype"/>
                    </w:rPr>
                    <w:t>Regular</w:t>
                  </w:r>
                </w:p>
              </w:tc>
              <w:tc>
                <w:tcPr>
                  <w:tcW w:w="270" w:type="dxa"/>
                  <w:tcBorders>
                    <w:right w:val="nil"/>
                  </w:tcBorders>
                </w:tcPr>
                <w:p w:rsidR="00087EBB" w:rsidRPr="00D961C5" w:rsidRDefault="00087EBB" w:rsidP="00087EBB">
                  <w:pPr>
                    <w:widowControl w:val="0"/>
                    <w:tabs>
                      <w:tab w:val="left" w:pos="-720"/>
                      <w:tab w:val="left" w:pos="0"/>
                      <w:tab w:val="left" w:pos="342"/>
                      <w:tab w:val="left" w:pos="1200"/>
                      <w:tab w:val="left" w:pos="3312"/>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p>
              </w:tc>
              <w:tc>
                <w:tcPr>
                  <w:tcW w:w="1062" w:type="dxa"/>
                  <w:tcBorders>
                    <w:top w:val="single" w:sz="4" w:space="0" w:color="auto"/>
                    <w:left w:val="nil"/>
                  </w:tcBorders>
                </w:tcPr>
                <w:p w:rsidR="00087EBB" w:rsidRPr="00D961C5" w:rsidRDefault="00C21D7A" w:rsidP="00087EBB">
                  <w:pPr>
                    <w:widowControl w:val="0"/>
                    <w:tabs>
                      <w:tab w:val="left" w:pos="-720"/>
                      <w:tab w:val="left" w:pos="0"/>
                      <w:tab w:val="left" w:pos="342"/>
                      <w:tab w:val="left" w:pos="1200"/>
                      <w:tab w:val="left" w:pos="3312"/>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r>
                    <w:rPr>
                      <w:rFonts w:ascii="Palatino Linotype" w:hAnsi="Palatino Linotype"/>
                    </w:rPr>
                    <w:t>3.2</w:t>
                  </w:r>
                  <w:r w:rsidR="00087EBB" w:rsidRPr="00D961C5">
                    <w:rPr>
                      <w:rFonts w:ascii="Palatino Linotype" w:hAnsi="Palatino Linotype"/>
                    </w:rPr>
                    <w:t>%</w:t>
                  </w:r>
                </w:p>
              </w:tc>
              <w:tc>
                <w:tcPr>
                  <w:tcW w:w="236" w:type="dxa"/>
                  <w:tcBorders>
                    <w:left w:val="nil"/>
                  </w:tcBorders>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p>
              </w:tc>
              <w:tc>
                <w:tcPr>
                  <w:tcW w:w="1016" w:type="dxa"/>
                  <w:tcBorders>
                    <w:top w:val="single" w:sz="4" w:space="0" w:color="auto"/>
                  </w:tcBorders>
                </w:tcPr>
                <w:p w:rsidR="00087EBB" w:rsidRPr="00D961C5" w:rsidRDefault="00C21D7A"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r>
                    <w:rPr>
                      <w:rFonts w:ascii="Palatino Linotype" w:hAnsi="Palatino Linotype"/>
                    </w:rPr>
                    <w:t>13.0</w:t>
                  </w:r>
                  <w:r w:rsidR="00087EBB" w:rsidRPr="00D961C5">
                    <w:rPr>
                      <w:rFonts w:ascii="Palatino Linotype" w:hAnsi="Palatino Linotype"/>
                    </w:rPr>
                    <w:t>%</w:t>
                  </w:r>
                </w:p>
              </w:tc>
            </w:tr>
            <w:tr w:rsidR="00087EBB" w:rsidRPr="00D961C5" w:rsidTr="00087EBB">
              <w:tc>
                <w:tcPr>
                  <w:tcW w:w="2077" w:type="dxa"/>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rPr>
                  </w:pPr>
                  <w:r w:rsidRPr="00D961C5">
                    <w:rPr>
                      <w:rFonts w:ascii="Palatino Linotype" w:hAnsi="Palatino Linotype"/>
                    </w:rPr>
                    <w:t>Judges</w:t>
                  </w:r>
                </w:p>
              </w:tc>
              <w:tc>
                <w:tcPr>
                  <w:tcW w:w="270" w:type="dxa"/>
                  <w:tcBorders>
                    <w:right w:val="nil"/>
                  </w:tcBorders>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p>
              </w:tc>
              <w:tc>
                <w:tcPr>
                  <w:tcW w:w="1062" w:type="dxa"/>
                  <w:tcBorders>
                    <w:left w:val="nil"/>
                  </w:tcBorders>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r w:rsidRPr="00D961C5">
                    <w:rPr>
                      <w:rFonts w:ascii="Palatino Linotype" w:hAnsi="Palatino Linotype"/>
                    </w:rPr>
                    <w:t>2.8%</w:t>
                  </w:r>
                </w:p>
              </w:tc>
              <w:tc>
                <w:tcPr>
                  <w:tcW w:w="236" w:type="dxa"/>
                  <w:tcBorders>
                    <w:left w:val="nil"/>
                  </w:tcBorders>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p>
              </w:tc>
              <w:tc>
                <w:tcPr>
                  <w:tcW w:w="1016" w:type="dxa"/>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r w:rsidRPr="00D961C5">
                    <w:rPr>
                      <w:rFonts w:ascii="Palatino Linotype" w:hAnsi="Palatino Linotype"/>
                    </w:rPr>
                    <w:t>5.3%</w:t>
                  </w:r>
                </w:p>
              </w:tc>
            </w:tr>
            <w:tr w:rsidR="00087EBB" w:rsidRPr="00D961C5" w:rsidTr="00087EBB">
              <w:trPr>
                <w:trHeight w:val="900"/>
              </w:trPr>
              <w:tc>
                <w:tcPr>
                  <w:tcW w:w="2077" w:type="dxa"/>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rPr>
                  </w:pPr>
                  <w:r w:rsidRPr="00D961C5">
                    <w:rPr>
                      <w:rFonts w:ascii="Palatino Linotype" w:hAnsi="Palatino Linotype"/>
                    </w:rPr>
                    <w:t xml:space="preserve">Corrections </w:t>
                  </w:r>
                </w:p>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rPr>
                  </w:pPr>
                  <w:r w:rsidRPr="00D961C5">
                    <w:rPr>
                      <w:rFonts w:ascii="Palatino Linotype" w:hAnsi="Palatino Linotype"/>
                    </w:rPr>
                    <w:t>Hazardous Duty</w:t>
                  </w:r>
                </w:p>
                <w:p w:rsidR="00087EBB" w:rsidRPr="00D961C5" w:rsidRDefault="00087EBB" w:rsidP="00087EBB">
                  <w:pPr>
                    <w:widowControl w:val="0"/>
                    <w:rPr>
                      <w:rFonts w:ascii="Palatino Linotype" w:hAnsi="Palatino Linotype"/>
                    </w:rPr>
                  </w:pPr>
                  <w:r w:rsidRPr="00D961C5">
                    <w:rPr>
                      <w:rFonts w:ascii="Palatino Linotype" w:hAnsi="Palatino Linotype"/>
                    </w:rPr>
                    <w:t>Wildlife</w:t>
                  </w:r>
                </w:p>
              </w:tc>
              <w:tc>
                <w:tcPr>
                  <w:tcW w:w="270" w:type="dxa"/>
                  <w:tcBorders>
                    <w:right w:val="nil"/>
                  </w:tcBorders>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p>
              </w:tc>
              <w:tc>
                <w:tcPr>
                  <w:tcW w:w="1062" w:type="dxa"/>
                  <w:tcBorders>
                    <w:left w:val="nil"/>
                  </w:tcBorders>
                </w:tcPr>
                <w:p w:rsidR="00087EBB" w:rsidRPr="00D961C5" w:rsidRDefault="00C21D7A"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r>
                    <w:rPr>
                      <w:rFonts w:ascii="Palatino Linotype" w:hAnsi="Palatino Linotype"/>
                    </w:rPr>
                    <w:t>3.8</w:t>
                  </w:r>
                  <w:r w:rsidR="00087EBB" w:rsidRPr="00D961C5">
                    <w:rPr>
                      <w:rFonts w:ascii="Palatino Linotype" w:hAnsi="Palatino Linotype"/>
                    </w:rPr>
                    <w:t>%</w:t>
                  </w:r>
                </w:p>
                <w:p w:rsidR="00087EBB" w:rsidRPr="00D961C5" w:rsidRDefault="00C21D7A"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r>
                    <w:rPr>
                      <w:rFonts w:ascii="Palatino Linotype" w:hAnsi="Palatino Linotype"/>
                    </w:rPr>
                    <w:t>3.8</w:t>
                  </w:r>
                  <w:r w:rsidR="00087EBB" w:rsidRPr="00D961C5">
                    <w:rPr>
                      <w:rFonts w:ascii="Palatino Linotype" w:hAnsi="Palatino Linotype"/>
                    </w:rPr>
                    <w:t>%</w:t>
                  </w:r>
                </w:p>
                <w:p w:rsidR="00087EBB" w:rsidRPr="00D961C5" w:rsidRDefault="00C21D7A"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r>
                    <w:rPr>
                      <w:rFonts w:ascii="Palatino Linotype" w:hAnsi="Palatino Linotype"/>
                    </w:rPr>
                    <w:t>3.8</w:t>
                  </w:r>
                  <w:r w:rsidR="00087EBB" w:rsidRPr="00D961C5">
                    <w:rPr>
                      <w:rFonts w:ascii="Palatino Linotype" w:hAnsi="Palatino Linotype"/>
                    </w:rPr>
                    <w:t>%</w:t>
                  </w:r>
                </w:p>
              </w:tc>
              <w:tc>
                <w:tcPr>
                  <w:tcW w:w="236" w:type="dxa"/>
                  <w:tcBorders>
                    <w:left w:val="nil"/>
                  </w:tcBorders>
                </w:tcPr>
                <w:p w:rsidR="00087EBB" w:rsidRPr="00D961C5" w:rsidRDefault="00087EBB"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p>
              </w:tc>
              <w:tc>
                <w:tcPr>
                  <w:tcW w:w="1016" w:type="dxa"/>
                </w:tcPr>
                <w:p w:rsidR="00087EBB" w:rsidRPr="00D961C5" w:rsidRDefault="00C21D7A"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r>
                    <w:rPr>
                      <w:rFonts w:ascii="Palatino Linotype" w:hAnsi="Palatino Linotype"/>
                    </w:rPr>
                    <w:t>14.0</w:t>
                  </w:r>
                  <w:r w:rsidR="00087EBB" w:rsidRPr="00D961C5">
                    <w:rPr>
                      <w:rFonts w:ascii="Palatino Linotype" w:hAnsi="Palatino Linotype"/>
                    </w:rPr>
                    <w:t>%</w:t>
                  </w:r>
                </w:p>
                <w:p w:rsidR="00087EBB" w:rsidRPr="00D961C5" w:rsidRDefault="00C21D7A"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r>
                    <w:rPr>
                      <w:rFonts w:ascii="Palatino Linotype" w:hAnsi="Palatino Linotype"/>
                    </w:rPr>
                    <w:t>14.0</w:t>
                  </w:r>
                  <w:r w:rsidR="00087EBB" w:rsidRPr="00D961C5">
                    <w:rPr>
                      <w:rFonts w:ascii="Palatino Linotype" w:hAnsi="Palatino Linotype"/>
                    </w:rPr>
                    <w:t>%</w:t>
                  </w:r>
                </w:p>
                <w:p w:rsidR="00087EBB" w:rsidRPr="00D961C5" w:rsidRDefault="00C21D7A" w:rsidP="00087EBB">
                  <w:pPr>
                    <w:widowControl w:val="0"/>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rPr>
                  </w:pPr>
                  <w:r>
                    <w:rPr>
                      <w:rFonts w:ascii="Palatino Linotype" w:hAnsi="Palatino Linotype"/>
                    </w:rPr>
                    <w:t>14.0</w:t>
                  </w:r>
                  <w:bookmarkStart w:id="5" w:name="_GoBack"/>
                  <w:bookmarkEnd w:id="5"/>
                  <w:r w:rsidR="00087EBB" w:rsidRPr="00D961C5">
                    <w:rPr>
                      <w:rFonts w:ascii="Palatino Linotype" w:hAnsi="Palatino Linotype"/>
                    </w:rPr>
                    <w:t>%</w:t>
                  </w:r>
                </w:p>
              </w:tc>
            </w:tr>
          </w:tbl>
          <w:p w:rsidR="00087EBB" w:rsidRPr="00C46936" w:rsidRDefault="00087EBB" w:rsidP="00CD7A6C">
            <w:pPr>
              <w:widowControl w:val="0"/>
              <w:tabs>
                <w:tab w:val="left" w:pos="-720"/>
                <w:tab w:val="left" w:pos="0"/>
                <w:tab w:val="left" w:pos="921"/>
              </w:tabs>
              <w:spacing w:after="120" w:line="240" w:lineRule="auto"/>
              <w:jc w:val="both"/>
              <w:rPr>
                <w:rFonts w:ascii="Palatino Linotype" w:hAnsi="Palatino Linotype"/>
              </w:rPr>
            </w:pPr>
          </w:p>
        </w:tc>
      </w:tr>
      <w:tr w:rsidR="00087EBB" w:rsidRPr="00C46936" w:rsidTr="00AE65B3">
        <w:trPr>
          <w:trHeight w:val="3159"/>
        </w:trPr>
        <w:tc>
          <w:tcPr>
            <w:tcW w:w="3150" w:type="dxa"/>
            <w:tcBorders>
              <w:top w:val="nil"/>
              <w:left w:val="nil"/>
              <w:bottom w:val="nil"/>
              <w:right w:val="nil"/>
            </w:tcBorders>
            <w:shd w:val="clear" w:color="auto" w:fill="auto"/>
          </w:tcPr>
          <w:p w:rsidR="00087EBB" w:rsidRDefault="00087EBB" w:rsidP="00AE65B3">
            <w:pPr>
              <w:widowControl w:val="0"/>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0" w:line="240" w:lineRule="auto"/>
              <w:rPr>
                <w:rFonts w:ascii="Palatino Linotype" w:hAnsi="Palatino Linotype"/>
                <w:b/>
              </w:rPr>
            </w:pPr>
            <w:r>
              <w:lastRenderedPageBreak/>
              <w:br w:type="page"/>
            </w:r>
            <w:r>
              <w:rPr>
                <w:rFonts w:ascii="Palatino Linotype" w:hAnsi="Palatino Linotype"/>
                <w:b/>
              </w:rPr>
              <w:t xml:space="preserve">Cost of Living </w:t>
            </w:r>
            <w:r w:rsidRPr="00C46936">
              <w:rPr>
                <w:rFonts w:ascii="Palatino Linotype" w:hAnsi="Palatino Linotype"/>
                <w:b/>
              </w:rPr>
              <w:t>Adjustments</w:t>
            </w:r>
          </w:p>
          <w:p w:rsidR="00087EBB" w:rsidRPr="00C46936" w:rsidRDefault="00087EBB" w:rsidP="00AE65B3">
            <w:pPr>
              <w:widowControl w:val="0"/>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0" w:line="240" w:lineRule="auto"/>
              <w:rPr>
                <w:rFonts w:ascii="Palatino Linotype" w:hAnsi="Palatino Linotype"/>
                <w:b/>
              </w:rPr>
            </w:pPr>
          </w:p>
        </w:tc>
        <w:tc>
          <w:tcPr>
            <w:tcW w:w="6480" w:type="dxa"/>
            <w:tcBorders>
              <w:top w:val="nil"/>
              <w:left w:val="nil"/>
              <w:bottom w:val="nil"/>
              <w:right w:val="nil"/>
            </w:tcBorders>
            <w:shd w:val="clear" w:color="auto" w:fill="auto"/>
          </w:tcPr>
          <w:p w:rsidR="00087EBB" w:rsidRPr="00C46936" w:rsidRDefault="00087EBB" w:rsidP="00087EBB">
            <w:pPr>
              <w:widowControl w:val="0"/>
              <w:tabs>
                <w:tab w:val="left" w:pos="-720"/>
                <w:tab w:val="left" w:pos="0"/>
                <w:tab w:val="left" w:pos="921"/>
              </w:tabs>
              <w:spacing w:after="120" w:line="240" w:lineRule="auto"/>
              <w:jc w:val="both"/>
              <w:rPr>
                <w:rFonts w:ascii="Palatino Linotype" w:hAnsi="Palatino Linotype"/>
              </w:rPr>
            </w:pPr>
            <w:r w:rsidRPr="00C46936">
              <w:rPr>
                <w:rFonts w:ascii="Palatino Linotype" w:hAnsi="Palatino Linotype"/>
              </w:rPr>
              <w:t>The present value of future retirement benefits is based on benefits currently being paid by the System and includes previously granted cost of living increases.  The projected benefit payments do not include provisions for potential future increases not yet authorized by the Board of Trustees as they were deemed not to be substantively automatic.</w:t>
            </w:r>
          </w:p>
        </w:tc>
      </w:tr>
    </w:tbl>
    <w:p w:rsidR="00601D7C" w:rsidRDefault="00601D7C" w:rsidP="00601D7C">
      <w:pPr>
        <w:rPr>
          <w:rFonts w:ascii="Palatino Linotype" w:hAnsi="Palatino Linotype"/>
          <w:b/>
          <w:sz w:val="24"/>
          <w:szCs w:val="24"/>
        </w:rPr>
      </w:pPr>
    </w:p>
    <w:sectPr w:rsidR="00601D7C" w:rsidSect="00A737FE">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845" w:rsidRDefault="00E61845" w:rsidP="00E61845">
      <w:pPr>
        <w:spacing w:after="0" w:line="240" w:lineRule="auto"/>
      </w:pPr>
      <w:r>
        <w:separator/>
      </w:r>
    </w:p>
  </w:endnote>
  <w:endnote w:type="continuationSeparator" w:id="0">
    <w:p w:rsidR="00E61845" w:rsidRDefault="00E61845" w:rsidP="00E6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93413"/>
      <w:docPartObj>
        <w:docPartGallery w:val="Page Numbers (Bottom of Page)"/>
        <w:docPartUnique/>
      </w:docPartObj>
    </w:sdtPr>
    <w:sdtEndPr>
      <w:rPr>
        <w:noProof/>
      </w:rPr>
    </w:sdtEndPr>
    <w:sdtContent>
      <w:p w:rsidR="00E61845" w:rsidRDefault="00E61845">
        <w:pPr>
          <w:pStyle w:val="Footer"/>
          <w:jc w:val="center"/>
        </w:pPr>
        <w:r>
          <w:fldChar w:fldCharType="begin"/>
        </w:r>
        <w:r>
          <w:instrText xml:space="preserve"> PAGE   \* MERGEFORMAT </w:instrText>
        </w:r>
        <w:r>
          <w:fldChar w:fldCharType="separate"/>
        </w:r>
        <w:r w:rsidR="00C21D7A">
          <w:rPr>
            <w:noProof/>
          </w:rPr>
          <w:t>6</w:t>
        </w:r>
        <w:r>
          <w:rPr>
            <w:noProof/>
          </w:rPr>
          <w:fldChar w:fldCharType="end"/>
        </w:r>
      </w:p>
    </w:sdtContent>
  </w:sdt>
  <w:p w:rsidR="00E61845" w:rsidRDefault="00E61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845" w:rsidRDefault="00E61845" w:rsidP="00E61845">
      <w:pPr>
        <w:spacing w:after="0" w:line="240" w:lineRule="auto"/>
      </w:pPr>
      <w:r>
        <w:separator/>
      </w:r>
    </w:p>
  </w:footnote>
  <w:footnote w:type="continuationSeparator" w:id="0">
    <w:p w:rsidR="00E61845" w:rsidRDefault="00E61845" w:rsidP="00E61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74DE"/>
    <w:multiLevelType w:val="hybridMultilevel"/>
    <w:tmpl w:val="4E88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C34C9E"/>
    <w:multiLevelType w:val="hybridMultilevel"/>
    <w:tmpl w:val="1A243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A050E8"/>
    <w:multiLevelType w:val="hybridMultilevel"/>
    <w:tmpl w:val="D17877EC"/>
    <w:lvl w:ilvl="0" w:tplc="04090015">
      <w:start w:val="1"/>
      <w:numFmt w:val="upperLetter"/>
      <w:lvlText w:val="%1."/>
      <w:lvlJc w:val="left"/>
      <w:pPr>
        <w:ind w:left="825" w:hanging="360"/>
      </w:pPr>
    </w:lvl>
    <w:lvl w:ilvl="1" w:tplc="0409000F">
      <w:start w:val="1"/>
      <w:numFmt w:val="decimal"/>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15:restartNumberingAfterBreak="0">
    <w:nsid w:val="6BDA4BFC"/>
    <w:multiLevelType w:val="hybridMultilevel"/>
    <w:tmpl w:val="F954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AC"/>
    <w:rsid w:val="00030003"/>
    <w:rsid w:val="00087EBB"/>
    <w:rsid w:val="000C7652"/>
    <w:rsid w:val="00117732"/>
    <w:rsid w:val="00167DDF"/>
    <w:rsid w:val="00227E16"/>
    <w:rsid w:val="002C15D9"/>
    <w:rsid w:val="002E4F96"/>
    <w:rsid w:val="004B057C"/>
    <w:rsid w:val="00601D7C"/>
    <w:rsid w:val="00612E58"/>
    <w:rsid w:val="00763353"/>
    <w:rsid w:val="008B4892"/>
    <w:rsid w:val="00A737FE"/>
    <w:rsid w:val="00B85B23"/>
    <w:rsid w:val="00C21D7A"/>
    <w:rsid w:val="00CD7A6C"/>
    <w:rsid w:val="00D50216"/>
    <w:rsid w:val="00E143F5"/>
    <w:rsid w:val="00E61845"/>
    <w:rsid w:val="00EC78AC"/>
    <w:rsid w:val="00EE4245"/>
    <w:rsid w:val="00F7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C389CB5"/>
  <w15:chartTrackingRefBased/>
  <w15:docId w15:val="{3B954ED9-2988-428C-90F4-538EDF5C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0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7363C"/>
    <w:pPr>
      <w:spacing w:after="0" w:line="240" w:lineRule="auto"/>
      <w:ind w:left="720"/>
      <w:contextualSpacing/>
    </w:pPr>
    <w:rPr>
      <w:sz w:val="24"/>
      <w:szCs w:val="24"/>
    </w:rPr>
  </w:style>
  <w:style w:type="paragraph" w:styleId="Header">
    <w:name w:val="header"/>
    <w:basedOn w:val="Normal"/>
    <w:link w:val="HeaderChar"/>
    <w:uiPriority w:val="99"/>
    <w:unhideWhenUsed/>
    <w:rsid w:val="00E61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45"/>
  </w:style>
  <w:style w:type="paragraph" w:styleId="Footer">
    <w:name w:val="footer"/>
    <w:basedOn w:val="Normal"/>
    <w:link w:val="FooterChar"/>
    <w:uiPriority w:val="99"/>
    <w:unhideWhenUsed/>
    <w:rsid w:val="00E61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A1A27-BC85-4FE6-B4A1-910D84C1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Foster</dc:creator>
  <cp:keywords/>
  <dc:description/>
  <cp:lastModifiedBy>Lori Craig</cp:lastModifiedBy>
  <cp:revision>9</cp:revision>
  <dcterms:created xsi:type="dcterms:W3CDTF">2018-02-02T15:39:00Z</dcterms:created>
  <dcterms:modified xsi:type="dcterms:W3CDTF">2019-12-11T21:24:00Z</dcterms:modified>
</cp:coreProperties>
</file>